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98" w:type="dxa"/>
        <w:tblLook w:val="04A0" w:firstRow="1" w:lastRow="0" w:firstColumn="1" w:lastColumn="0" w:noHBand="0" w:noVBand="1"/>
      </w:tblPr>
      <w:tblGrid>
        <w:gridCol w:w="1074"/>
        <w:gridCol w:w="718"/>
        <w:gridCol w:w="1257"/>
        <w:gridCol w:w="760"/>
        <w:gridCol w:w="4294"/>
        <w:gridCol w:w="2895"/>
      </w:tblGrid>
      <w:tr w:rsidR="00303DD3" w14:paraId="55C56E99" w14:textId="77777777" w:rsidTr="001139AB">
        <w:trPr>
          <w:trHeight w:val="710"/>
        </w:trPr>
        <w:tc>
          <w:tcPr>
            <w:tcW w:w="8103" w:type="dxa"/>
            <w:gridSpan w:val="5"/>
            <w:vAlign w:val="center"/>
          </w:tcPr>
          <w:p w14:paraId="1A822E4F" w14:textId="77777777" w:rsidR="00303DD3" w:rsidRPr="00C4702C" w:rsidRDefault="00303DD3" w:rsidP="00F92E36">
            <w:pPr>
              <w:rPr>
                <w:b/>
                <w:sz w:val="40"/>
              </w:rPr>
            </w:pPr>
            <w:r w:rsidRPr="00F92E36">
              <w:rPr>
                <w:b/>
                <w:sz w:val="28"/>
              </w:rPr>
              <w:t>Name:</w:t>
            </w:r>
            <w:r w:rsidR="00F72EF3">
              <w:rPr>
                <w:b/>
                <w:sz w:val="28"/>
              </w:rPr>
              <w:t xml:space="preserve"> </w:t>
            </w:r>
          </w:p>
        </w:tc>
        <w:tc>
          <w:tcPr>
            <w:tcW w:w="2895" w:type="dxa"/>
            <w:vAlign w:val="center"/>
          </w:tcPr>
          <w:p w14:paraId="0F374101" w14:textId="77777777" w:rsidR="00303DD3" w:rsidRPr="00C4702C" w:rsidRDefault="00303DD3" w:rsidP="00F92E36">
            <w:pPr>
              <w:rPr>
                <w:b/>
                <w:sz w:val="40"/>
              </w:rPr>
            </w:pPr>
            <w:r w:rsidRPr="00F92E36">
              <w:rPr>
                <w:b/>
                <w:sz w:val="28"/>
              </w:rPr>
              <w:t>Date:</w:t>
            </w:r>
          </w:p>
        </w:tc>
      </w:tr>
      <w:tr w:rsidR="00C4702C" w14:paraId="2E9E4AC9" w14:textId="77777777" w:rsidTr="004B2B86">
        <w:trPr>
          <w:trHeight w:val="1322"/>
        </w:trPr>
        <w:tc>
          <w:tcPr>
            <w:tcW w:w="10998" w:type="dxa"/>
            <w:gridSpan w:val="6"/>
          </w:tcPr>
          <w:p w14:paraId="1230B602" w14:textId="77777777" w:rsidR="00C4702C" w:rsidRDefault="00C4702C" w:rsidP="00C4702C">
            <w:pPr>
              <w:jc w:val="center"/>
              <w:rPr>
                <w:b/>
                <w:sz w:val="40"/>
              </w:rPr>
            </w:pPr>
            <w:r w:rsidRPr="00C4702C">
              <w:rPr>
                <w:b/>
                <w:sz w:val="40"/>
              </w:rPr>
              <w:t>UTMC UNITS</w:t>
            </w:r>
          </w:p>
          <w:p w14:paraId="71C316B5" w14:textId="77777777" w:rsidR="001740F3" w:rsidRDefault="001740F3" w:rsidP="001740F3">
            <w:pPr>
              <w:rPr>
                <w:b/>
              </w:rPr>
            </w:pPr>
          </w:p>
          <w:p w14:paraId="644B0F7E" w14:textId="77777777" w:rsidR="00C4702C" w:rsidRPr="001740F3" w:rsidRDefault="00C4702C" w:rsidP="00C4702C">
            <w:pPr>
              <w:jc w:val="center"/>
              <w:rPr>
                <w:b/>
                <w:sz w:val="24"/>
                <w:szCs w:val="24"/>
              </w:rPr>
            </w:pPr>
            <w:r w:rsidRPr="001740F3">
              <w:rPr>
                <w:b/>
                <w:sz w:val="24"/>
                <w:szCs w:val="24"/>
              </w:rPr>
              <w:t xml:space="preserve">Please read the descriptions of the UTMC Units and rank your top </w:t>
            </w:r>
            <w:r w:rsidR="001740F3" w:rsidRPr="001740F3">
              <w:rPr>
                <w:b/>
                <w:sz w:val="24"/>
                <w:szCs w:val="24"/>
              </w:rPr>
              <w:t xml:space="preserve">three areas of interest with one being your top choice. </w:t>
            </w:r>
          </w:p>
        </w:tc>
      </w:tr>
      <w:tr w:rsidR="001740F3" w14:paraId="59333F86" w14:textId="77777777" w:rsidTr="004B2B86">
        <w:trPr>
          <w:trHeight w:val="395"/>
        </w:trPr>
        <w:tc>
          <w:tcPr>
            <w:tcW w:w="1074" w:type="dxa"/>
            <w:vAlign w:val="center"/>
          </w:tcPr>
          <w:p w14:paraId="09A7DE16" w14:textId="77777777" w:rsidR="001740F3" w:rsidRPr="001740F3" w:rsidRDefault="001740F3" w:rsidP="001740F3">
            <w:pPr>
              <w:spacing w:line="276" w:lineRule="auto"/>
              <w:jc w:val="center"/>
              <w:rPr>
                <w:b/>
                <w:sz w:val="16"/>
              </w:rPr>
            </w:pPr>
            <w:r>
              <w:rPr>
                <w:b/>
                <w:sz w:val="16"/>
              </w:rPr>
              <w:t>Ranking</w:t>
            </w:r>
          </w:p>
          <w:p w14:paraId="07FF9609" w14:textId="77777777" w:rsidR="001740F3" w:rsidRPr="001740F3" w:rsidRDefault="001740F3" w:rsidP="001740F3">
            <w:pPr>
              <w:spacing w:line="276" w:lineRule="auto"/>
              <w:jc w:val="center"/>
              <w:rPr>
                <w:sz w:val="16"/>
              </w:rPr>
            </w:pPr>
            <w:r w:rsidRPr="001740F3">
              <w:rPr>
                <w:b/>
                <w:sz w:val="16"/>
              </w:rPr>
              <w:t>Box</w:t>
            </w:r>
          </w:p>
        </w:tc>
        <w:tc>
          <w:tcPr>
            <w:tcW w:w="718" w:type="dxa"/>
            <w:vAlign w:val="center"/>
          </w:tcPr>
          <w:p w14:paraId="732B98E7" w14:textId="77777777" w:rsidR="001740F3" w:rsidRPr="007D7907" w:rsidRDefault="001740F3" w:rsidP="007D7907">
            <w:pPr>
              <w:jc w:val="center"/>
              <w:rPr>
                <w:rFonts w:ascii="Calibri" w:hAnsi="Calibri"/>
                <w:b/>
                <w:color w:val="000000"/>
              </w:rPr>
            </w:pPr>
            <w:r w:rsidRPr="007D7907">
              <w:rPr>
                <w:rFonts w:ascii="Calibri" w:hAnsi="Calibri"/>
                <w:b/>
                <w:color w:val="000000"/>
              </w:rPr>
              <w:t>Floor</w:t>
            </w:r>
          </w:p>
        </w:tc>
        <w:tc>
          <w:tcPr>
            <w:tcW w:w="2017" w:type="dxa"/>
            <w:gridSpan w:val="2"/>
            <w:vAlign w:val="center"/>
          </w:tcPr>
          <w:p w14:paraId="6A95DA9D" w14:textId="77777777" w:rsidR="001740F3" w:rsidRPr="001740F3" w:rsidRDefault="001740F3" w:rsidP="001740F3">
            <w:pPr>
              <w:jc w:val="center"/>
              <w:rPr>
                <w:b/>
              </w:rPr>
            </w:pPr>
            <w:r w:rsidRPr="001740F3">
              <w:rPr>
                <w:b/>
              </w:rPr>
              <w:t>Unit Name</w:t>
            </w:r>
          </w:p>
        </w:tc>
        <w:tc>
          <w:tcPr>
            <w:tcW w:w="7189" w:type="dxa"/>
            <w:gridSpan w:val="2"/>
            <w:vAlign w:val="center"/>
          </w:tcPr>
          <w:p w14:paraId="11F0AD41" w14:textId="77777777" w:rsidR="001740F3" w:rsidRPr="001740F3" w:rsidRDefault="001740F3" w:rsidP="001740F3">
            <w:pPr>
              <w:jc w:val="center"/>
              <w:rPr>
                <w:b/>
              </w:rPr>
            </w:pPr>
            <w:r w:rsidRPr="001740F3">
              <w:rPr>
                <w:b/>
              </w:rPr>
              <w:t>Description</w:t>
            </w:r>
          </w:p>
        </w:tc>
      </w:tr>
      <w:tr w:rsidR="007D7907" w14:paraId="3E6CF011" w14:textId="77777777" w:rsidTr="004B2B86">
        <w:trPr>
          <w:trHeight w:val="973"/>
        </w:trPr>
        <w:tc>
          <w:tcPr>
            <w:tcW w:w="1074" w:type="dxa"/>
          </w:tcPr>
          <w:p w14:paraId="1E18D844" w14:textId="77777777" w:rsidR="00C4702C" w:rsidRDefault="00C4702C"/>
        </w:tc>
        <w:tc>
          <w:tcPr>
            <w:tcW w:w="718" w:type="dxa"/>
            <w:vAlign w:val="center"/>
          </w:tcPr>
          <w:p w14:paraId="3A2D6159" w14:textId="77777777" w:rsidR="001740F3" w:rsidRPr="007D7907" w:rsidRDefault="001740F3" w:rsidP="007D7907">
            <w:pPr>
              <w:jc w:val="center"/>
              <w:rPr>
                <w:rFonts w:ascii="Calibri" w:hAnsi="Calibri"/>
                <w:b/>
                <w:color w:val="000000"/>
              </w:rPr>
            </w:pPr>
            <w:r w:rsidRPr="007D7907">
              <w:rPr>
                <w:rFonts w:ascii="Calibri" w:hAnsi="Calibri"/>
                <w:b/>
                <w:color w:val="000000"/>
              </w:rPr>
              <w:t>12E</w:t>
            </w:r>
          </w:p>
          <w:p w14:paraId="79FC7975" w14:textId="77777777" w:rsidR="00C4702C" w:rsidRPr="007D7907" w:rsidRDefault="00C4702C" w:rsidP="007D7907">
            <w:pPr>
              <w:jc w:val="center"/>
              <w:rPr>
                <w:b/>
              </w:rPr>
            </w:pPr>
          </w:p>
        </w:tc>
        <w:tc>
          <w:tcPr>
            <w:tcW w:w="2017" w:type="dxa"/>
            <w:gridSpan w:val="2"/>
            <w:vAlign w:val="center"/>
          </w:tcPr>
          <w:p w14:paraId="65CC6D72" w14:textId="77777777" w:rsidR="001740F3" w:rsidRPr="007D7907" w:rsidRDefault="001740F3" w:rsidP="007D7907">
            <w:pPr>
              <w:jc w:val="center"/>
              <w:rPr>
                <w:rFonts w:ascii="Calibri" w:hAnsi="Calibri"/>
                <w:b/>
                <w:color w:val="000000"/>
              </w:rPr>
            </w:pPr>
            <w:r w:rsidRPr="007D7907">
              <w:rPr>
                <w:rFonts w:ascii="Calibri" w:hAnsi="Calibri"/>
                <w:b/>
                <w:color w:val="000000"/>
              </w:rPr>
              <w:t>Oncology/ Urology/Head &amp; Neck</w:t>
            </w:r>
          </w:p>
          <w:p w14:paraId="6E8F96A3" w14:textId="77777777" w:rsidR="00C4702C" w:rsidRPr="007D7907" w:rsidRDefault="00C4702C" w:rsidP="007D7907">
            <w:pPr>
              <w:jc w:val="center"/>
              <w:rPr>
                <w:b/>
              </w:rPr>
            </w:pPr>
          </w:p>
        </w:tc>
        <w:tc>
          <w:tcPr>
            <w:tcW w:w="7189" w:type="dxa"/>
            <w:gridSpan w:val="2"/>
          </w:tcPr>
          <w:p w14:paraId="1592DE75" w14:textId="77777777" w:rsidR="00C4702C" w:rsidRDefault="00816FB3" w:rsidP="008D5642">
            <w:r>
              <w:rPr>
                <w:rFonts w:ascii="Calibri" w:hAnsi="Calibri"/>
                <w:color w:val="000000"/>
              </w:rPr>
              <w:t xml:space="preserve">We are the dedicated oncology floor. </w:t>
            </w:r>
            <w:r w:rsidR="008D5642">
              <w:rPr>
                <w:rFonts w:ascii="Calibri" w:hAnsi="Calibri"/>
                <w:color w:val="000000"/>
              </w:rPr>
              <w:t xml:space="preserve">We care for dynamic surgical and medical patients, caring for </w:t>
            </w:r>
            <w:r>
              <w:rPr>
                <w:rFonts w:ascii="Calibri" w:hAnsi="Calibri"/>
                <w:color w:val="000000"/>
              </w:rPr>
              <w:t xml:space="preserve">every system of the body. </w:t>
            </w:r>
            <w:r w:rsidR="008D5642">
              <w:rPr>
                <w:rFonts w:ascii="Calibri" w:hAnsi="Calibri"/>
                <w:color w:val="000000"/>
              </w:rPr>
              <w:t>We are a front runner in providing an exceptional patient experience. A great place to work in a team environment.</w:t>
            </w:r>
            <w:r w:rsidR="002D7C7B">
              <w:rPr>
                <w:rFonts w:ascii="Calibri" w:hAnsi="Calibri"/>
                <w:color w:val="000000"/>
              </w:rPr>
              <w:t xml:space="preserve"> RNs have the opportunity to become chemo certified.</w:t>
            </w:r>
          </w:p>
        </w:tc>
      </w:tr>
      <w:tr w:rsidR="007D7907" w14:paraId="693F00E8" w14:textId="77777777" w:rsidTr="004B2B86">
        <w:trPr>
          <w:trHeight w:val="1029"/>
        </w:trPr>
        <w:tc>
          <w:tcPr>
            <w:tcW w:w="1074" w:type="dxa"/>
          </w:tcPr>
          <w:p w14:paraId="7442938A" w14:textId="77777777" w:rsidR="00C4702C" w:rsidRDefault="00C4702C"/>
        </w:tc>
        <w:tc>
          <w:tcPr>
            <w:tcW w:w="718" w:type="dxa"/>
            <w:vAlign w:val="center"/>
          </w:tcPr>
          <w:p w14:paraId="39230D65" w14:textId="77777777" w:rsidR="001740F3" w:rsidRPr="007D7907" w:rsidRDefault="001740F3" w:rsidP="007D7907">
            <w:pPr>
              <w:jc w:val="center"/>
              <w:rPr>
                <w:rFonts w:ascii="Calibri" w:hAnsi="Calibri"/>
                <w:b/>
                <w:color w:val="000000"/>
              </w:rPr>
            </w:pPr>
            <w:r w:rsidRPr="007D7907">
              <w:rPr>
                <w:rFonts w:ascii="Calibri" w:hAnsi="Calibri"/>
                <w:b/>
                <w:color w:val="000000"/>
              </w:rPr>
              <w:t>11E</w:t>
            </w:r>
          </w:p>
          <w:p w14:paraId="10C5A3B3" w14:textId="77777777" w:rsidR="00C4702C" w:rsidRPr="007D7907" w:rsidRDefault="00C4702C" w:rsidP="007D7907">
            <w:pPr>
              <w:jc w:val="center"/>
              <w:rPr>
                <w:b/>
              </w:rPr>
            </w:pPr>
          </w:p>
        </w:tc>
        <w:tc>
          <w:tcPr>
            <w:tcW w:w="2017" w:type="dxa"/>
            <w:gridSpan w:val="2"/>
            <w:vAlign w:val="center"/>
          </w:tcPr>
          <w:p w14:paraId="0925D2DC" w14:textId="77777777" w:rsidR="001740F3" w:rsidRPr="007D7907" w:rsidRDefault="001740F3" w:rsidP="007D7907">
            <w:pPr>
              <w:jc w:val="center"/>
              <w:rPr>
                <w:rFonts w:ascii="Calibri" w:hAnsi="Calibri"/>
                <w:b/>
                <w:color w:val="000000"/>
              </w:rPr>
            </w:pPr>
            <w:r w:rsidRPr="007D7907">
              <w:rPr>
                <w:rFonts w:ascii="Calibri" w:hAnsi="Calibri"/>
                <w:b/>
                <w:color w:val="000000"/>
              </w:rPr>
              <w:t>General Surgery</w:t>
            </w:r>
          </w:p>
          <w:p w14:paraId="0B170AAE" w14:textId="77777777" w:rsidR="00C4702C" w:rsidRPr="007D7907" w:rsidRDefault="00C4702C" w:rsidP="007D7907">
            <w:pPr>
              <w:jc w:val="center"/>
              <w:rPr>
                <w:b/>
              </w:rPr>
            </w:pPr>
          </w:p>
        </w:tc>
        <w:tc>
          <w:tcPr>
            <w:tcW w:w="7189" w:type="dxa"/>
            <w:gridSpan w:val="2"/>
          </w:tcPr>
          <w:p w14:paraId="0E017700" w14:textId="77777777" w:rsidR="00C4702C" w:rsidRPr="00A77CF4" w:rsidRDefault="00A77CF4" w:rsidP="00A77CF4">
            <w:pPr>
              <w:rPr>
                <w:rFonts w:ascii="Calibri" w:hAnsi="Calibri"/>
                <w:color w:val="000000"/>
              </w:rPr>
            </w:pPr>
            <w:r>
              <w:rPr>
                <w:rFonts w:ascii="Calibri" w:hAnsi="Calibri"/>
                <w:color w:val="000000"/>
              </w:rPr>
              <w:t xml:space="preserve">11 East consists of dynamic surgical and medical patients.  The diverse patient population makes it a great learning environment and one that is professionally rewarding.  RNs completed the 2015 NDNQI nurse satisfaction survey they ranked in the top quartile for professional status and job enjoyment compared to other adult surgical academic medical centers. </w:t>
            </w:r>
          </w:p>
        </w:tc>
      </w:tr>
      <w:tr w:rsidR="007D7907" w14:paraId="780E239E" w14:textId="77777777" w:rsidTr="004B2B86">
        <w:trPr>
          <w:trHeight w:val="973"/>
        </w:trPr>
        <w:tc>
          <w:tcPr>
            <w:tcW w:w="1074" w:type="dxa"/>
          </w:tcPr>
          <w:p w14:paraId="3112B02E" w14:textId="77777777" w:rsidR="00C4702C" w:rsidRDefault="00C4702C"/>
        </w:tc>
        <w:tc>
          <w:tcPr>
            <w:tcW w:w="718" w:type="dxa"/>
            <w:vAlign w:val="center"/>
          </w:tcPr>
          <w:p w14:paraId="34FD9DC4" w14:textId="77777777" w:rsidR="00C4702C" w:rsidRPr="007D7907" w:rsidRDefault="001740F3" w:rsidP="007D7907">
            <w:pPr>
              <w:jc w:val="center"/>
              <w:rPr>
                <w:b/>
              </w:rPr>
            </w:pPr>
            <w:r w:rsidRPr="007D7907">
              <w:rPr>
                <w:b/>
              </w:rPr>
              <w:t>10E</w:t>
            </w:r>
          </w:p>
        </w:tc>
        <w:tc>
          <w:tcPr>
            <w:tcW w:w="2017" w:type="dxa"/>
            <w:gridSpan w:val="2"/>
            <w:vAlign w:val="center"/>
          </w:tcPr>
          <w:p w14:paraId="009A45DE" w14:textId="77777777" w:rsidR="001740F3" w:rsidRPr="007D7907" w:rsidRDefault="001740F3" w:rsidP="007D7907">
            <w:pPr>
              <w:jc w:val="center"/>
              <w:rPr>
                <w:rFonts w:ascii="Calibri" w:hAnsi="Calibri"/>
                <w:b/>
                <w:color w:val="000000"/>
              </w:rPr>
            </w:pPr>
            <w:r w:rsidRPr="007D7907">
              <w:rPr>
                <w:rFonts w:ascii="Calibri" w:hAnsi="Calibri"/>
                <w:b/>
                <w:color w:val="000000"/>
              </w:rPr>
              <w:t>Trauma Neuro Step Down</w:t>
            </w:r>
          </w:p>
          <w:p w14:paraId="39770B13" w14:textId="77777777" w:rsidR="00C4702C" w:rsidRPr="007D7907" w:rsidRDefault="00C4702C" w:rsidP="007D7907">
            <w:pPr>
              <w:jc w:val="center"/>
              <w:rPr>
                <w:b/>
              </w:rPr>
            </w:pPr>
          </w:p>
        </w:tc>
        <w:tc>
          <w:tcPr>
            <w:tcW w:w="7189" w:type="dxa"/>
            <w:gridSpan w:val="2"/>
          </w:tcPr>
          <w:p w14:paraId="26F09EF0" w14:textId="77777777" w:rsidR="00C4702C" w:rsidRPr="004B2B86" w:rsidRDefault="004B2B86">
            <w:pPr>
              <w:rPr>
                <w:rFonts w:ascii="Calibri" w:hAnsi="Calibri"/>
                <w:color w:val="000000"/>
              </w:rPr>
            </w:pPr>
            <w:r>
              <w:rPr>
                <w:rFonts w:ascii="Calibri" w:hAnsi="Calibri"/>
                <w:color w:val="000000"/>
              </w:rPr>
              <w:t>Trauma patients, orthopedics, general surgery patient</w:t>
            </w:r>
            <w:r w:rsidR="00BC0EC3">
              <w:rPr>
                <w:rFonts w:ascii="Calibri" w:hAnsi="Calibri"/>
                <w:color w:val="000000"/>
              </w:rPr>
              <w:t>s. A diverse patient population with multisystem complications and injuries. Great unit to learn an array of skill applicable to multiple patient populations.</w:t>
            </w:r>
          </w:p>
        </w:tc>
      </w:tr>
      <w:tr w:rsidR="007D7907" w14:paraId="1D31874C" w14:textId="77777777" w:rsidTr="004B2B86">
        <w:trPr>
          <w:trHeight w:val="1029"/>
        </w:trPr>
        <w:tc>
          <w:tcPr>
            <w:tcW w:w="1074" w:type="dxa"/>
          </w:tcPr>
          <w:p w14:paraId="51795AB6" w14:textId="77777777" w:rsidR="00C4702C" w:rsidRDefault="00C4702C"/>
        </w:tc>
        <w:tc>
          <w:tcPr>
            <w:tcW w:w="718" w:type="dxa"/>
            <w:vAlign w:val="center"/>
          </w:tcPr>
          <w:p w14:paraId="3799CAC4" w14:textId="77777777" w:rsidR="00C4702C" w:rsidRPr="007D7907" w:rsidRDefault="00163FF5" w:rsidP="007D7907">
            <w:pPr>
              <w:jc w:val="center"/>
              <w:rPr>
                <w:b/>
              </w:rPr>
            </w:pPr>
            <w:r>
              <w:rPr>
                <w:b/>
              </w:rPr>
              <w:t>8H</w:t>
            </w:r>
          </w:p>
        </w:tc>
        <w:tc>
          <w:tcPr>
            <w:tcW w:w="2017" w:type="dxa"/>
            <w:gridSpan w:val="2"/>
            <w:vAlign w:val="center"/>
          </w:tcPr>
          <w:p w14:paraId="22048218" w14:textId="77777777" w:rsidR="001740F3" w:rsidRPr="007D7907" w:rsidRDefault="001740F3" w:rsidP="007D7907">
            <w:pPr>
              <w:jc w:val="center"/>
              <w:rPr>
                <w:rFonts w:ascii="Calibri" w:hAnsi="Calibri"/>
                <w:b/>
                <w:color w:val="000000"/>
              </w:rPr>
            </w:pPr>
            <w:r w:rsidRPr="007D7907">
              <w:rPr>
                <w:rFonts w:ascii="Calibri" w:hAnsi="Calibri"/>
                <w:b/>
                <w:color w:val="000000"/>
              </w:rPr>
              <w:t>Medical Pulmonary</w:t>
            </w:r>
          </w:p>
          <w:p w14:paraId="21FF91BC" w14:textId="77777777" w:rsidR="00C4702C" w:rsidRPr="007D7907" w:rsidRDefault="00C4702C" w:rsidP="007D7907">
            <w:pPr>
              <w:jc w:val="center"/>
              <w:rPr>
                <w:b/>
              </w:rPr>
            </w:pPr>
          </w:p>
        </w:tc>
        <w:tc>
          <w:tcPr>
            <w:tcW w:w="7189" w:type="dxa"/>
            <w:gridSpan w:val="2"/>
          </w:tcPr>
          <w:p w14:paraId="6486A9EB" w14:textId="77777777" w:rsidR="004E4A55" w:rsidRDefault="002D3AFF" w:rsidP="004E4A55">
            <w:r>
              <w:t>Complex medical patients. Primarily caring for pulmonary disease. Only Adult Cystic Fibrosis Center in the region. Pulmonologists ranked #34 in nation. 82% of RNs are professionally certified. Turnover rate 3.6%. Lots of friendly competition and great teamwork!</w:t>
            </w:r>
            <w:r w:rsidR="004B2B86">
              <w:t xml:space="preserve"> </w:t>
            </w:r>
          </w:p>
        </w:tc>
      </w:tr>
      <w:tr w:rsidR="007D7907" w14:paraId="463F769B" w14:textId="77777777" w:rsidTr="004B2B86">
        <w:trPr>
          <w:trHeight w:val="973"/>
        </w:trPr>
        <w:tc>
          <w:tcPr>
            <w:tcW w:w="1074" w:type="dxa"/>
          </w:tcPr>
          <w:p w14:paraId="102029CE" w14:textId="77777777" w:rsidR="00C4702C" w:rsidRDefault="00C4702C"/>
        </w:tc>
        <w:tc>
          <w:tcPr>
            <w:tcW w:w="718" w:type="dxa"/>
            <w:vAlign w:val="center"/>
          </w:tcPr>
          <w:p w14:paraId="3CF08A58" w14:textId="77777777" w:rsidR="00C4702C" w:rsidRPr="007D7907" w:rsidRDefault="001740F3" w:rsidP="007D7907">
            <w:pPr>
              <w:jc w:val="center"/>
              <w:rPr>
                <w:b/>
              </w:rPr>
            </w:pPr>
            <w:r w:rsidRPr="007D7907">
              <w:rPr>
                <w:b/>
              </w:rPr>
              <w:t>8E</w:t>
            </w:r>
          </w:p>
        </w:tc>
        <w:tc>
          <w:tcPr>
            <w:tcW w:w="2017" w:type="dxa"/>
            <w:gridSpan w:val="2"/>
            <w:vAlign w:val="center"/>
          </w:tcPr>
          <w:p w14:paraId="72F828E2" w14:textId="77777777" w:rsidR="001740F3" w:rsidRPr="007D7907" w:rsidRDefault="001740F3" w:rsidP="007D7907">
            <w:pPr>
              <w:jc w:val="center"/>
              <w:rPr>
                <w:rFonts w:ascii="Calibri" w:hAnsi="Calibri"/>
                <w:b/>
                <w:color w:val="000000"/>
              </w:rPr>
            </w:pPr>
            <w:r w:rsidRPr="007D7907">
              <w:rPr>
                <w:rFonts w:ascii="Calibri" w:hAnsi="Calibri"/>
                <w:b/>
                <w:color w:val="000000"/>
              </w:rPr>
              <w:t>Med/</w:t>
            </w:r>
            <w:proofErr w:type="spellStart"/>
            <w:r w:rsidRPr="007D7907">
              <w:rPr>
                <w:rFonts w:ascii="Calibri" w:hAnsi="Calibri"/>
                <w:b/>
                <w:color w:val="000000"/>
              </w:rPr>
              <w:t>Surg</w:t>
            </w:r>
            <w:proofErr w:type="spellEnd"/>
            <w:r w:rsidRPr="007D7907">
              <w:rPr>
                <w:rFonts w:ascii="Calibri" w:hAnsi="Calibri"/>
                <w:b/>
                <w:color w:val="000000"/>
              </w:rPr>
              <w:t xml:space="preserve"> Telemetry</w:t>
            </w:r>
          </w:p>
          <w:p w14:paraId="35455AEA" w14:textId="77777777" w:rsidR="00C4702C" w:rsidRPr="007D7907" w:rsidRDefault="00C4702C" w:rsidP="007D7907">
            <w:pPr>
              <w:jc w:val="center"/>
              <w:rPr>
                <w:b/>
              </w:rPr>
            </w:pPr>
          </w:p>
        </w:tc>
        <w:tc>
          <w:tcPr>
            <w:tcW w:w="7189" w:type="dxa"/>
            <w:gridSpan w:val="2"/>
          </w:tcPr>
          <w:p w14:paraId="40BDA3BE" w14:textId="77777777" w:rsidR="00C4702C" w:rsidRPr="003C613A" w:rsidRDefault="003C613A" w:rsidP="003C613A">
            <w:pPr>
              <w:rPr>
                <w:rFonts w:ascii="Calibri" w:hAnsi="Calibri"/>
                <w:color w:val="000000"/>
              </w:rPr>
            </w:pPr>
            <w:r>
              <w:rPr>
                <w:rFonts w:eastAsia="Times New Roman"/>
              </w:rPr>
              <w:t>Variety of patients and diagnoses with close physician and nurse collaboration. Hospitalist MD present on floor for Unit Based Care Team model.</w:t>
            </w:r>
          </w:p>
        </w:tc>
      </w:tr>
      <w:tr w:rsidR="007D7907" w14:paraId="54072722" w14:textId="77777777" w:rsidTr="004B2B86">
        <w:trPr>
          <w:trHeight w:val="1029"/>
        </w:trPr>
        <w:tc>
          <w:tcPr>
            <w:tcW w:w="1074" w:type="dxa"/>
          </w:tcPr>
          <w:p w14:paraId="0BB5F632" w14:textId="77777777" w:rsidR="00C4702C" w:rsidRDefault="00C4702C"/>
        </w:tc>
        <w:tc>
          <w:tcPr>
            <w:tcW w:w="718" w:type="dxa"/>
            <w:vAlign w:val="center"/>
          </w:tcPr>
          <w:p w14:paraId="5EB2A67E" w14:textId="77777777" w:rsidR="00C4702C" w:rsidRPr="007D7907" w:rsidRDefault="001740F3" w:rsidP="007D7907">
            <w:pPr>
              <w:jc w:val="center"/>
              <w:rPr>
                <w:b/>
              </w:rPr>
            </w:pPr>
            <w:r w:rsidRPr="007D7907">
              <w:rPr>
                <w:b/>
              </w:rPr>
              <w:t>7E</w:t>
            </w:r>
          </w:p>
        </w:tc>
        <w:tc>
          <w:tcPr>
            <w:tcW w:w="2017" w:type="dxa"/>
            <w:gridSpan w:val="2"/>
            <w:vAlign w:val="center"/>
          </w:tcPr>
          <w:p w14:paraId="06AA10CF" w14:textId="77777777" w:rsidR="001740F3" w:rsidRPr="007D7907" w:rsidRDefault="001740F3" w:rsidP="007D7907">
            <w:pPr>
              <w:jc w:val="center"/>
              <w:rPr>
                <w:rFonts w:ascii="Calibri" w:hAnsi="Calibri"/>
                <w:b/>
                <w:color w:val="000000"/>
              </w:rPr>
            </w:pPr>
            <w:r w:rsidRPr="007D7907">
              <w:rPr>
                <w:rFonts w:ascii="Calibri" w:hAnsi="Calibri"/>
                <w:b/>
                <w:color w:val="000000"/>
              </w:rPr>
              <w:t>Joint Center</w:t>
            </w:r>
          </w:p>
          <w:p w14:paraId="4553914B" w14:textId="77777777" w:rsidR="00C4702C" w:rsidRPr="007D7907" w:rsidRDefault="00C4702C" w:rsidP="007D7907">
            <w:pPr>
              <w:jc w:val="center"/>
              <w:rPr>
                <w:b/>
              </w:rPr>
            </w:pPr>
          </w:p>
        </w:tc>
        <w:tc>
          <w:tcPr>
            <w:tcW w:w="7189" w:type="dxa"/>
            <w:gridSpan w:val="2"/>
          </w:tcPr>
          <w:p w14:paraId="31F9B7A6" w14:textId="77777777" w:rsidR="00C4702C" w:rsidRDefault="001478CC" w:rsidP="001478CC">
            <w:r>
              <w:rPr>
                <w:rFonts w:ascii="Calibri" w:hAnsi="Calibri"/>
                <w:color w:val="000000"/>
              </w:rPr>
              <w:t xml:space="preserve">Elective surgery - hip, knee, shoulder &amp; ankle. Patients have been well educated in Joint Class and planned their surgery.  Non-planned fractures primarily from falls in more elderly patient populations and single site trauma fractures that have undergone surgery.  </w:t>
            </w:r>
          </w:p>
        </w:tc>
      </w:tr>
      <w:tr w:rsidR="007D7907" w14:paraId="5A0C55DD" w14:textId="77777777" w:rsidTr="004B2B86">
        <w:trPr>
          <w:trHeight w:val="1029"/>
        </w:trPr>
        <w:tc>
          <w:tcPr>
            <w:tcW w:w="1074" w:type="dxa"/>
          </w:tcPr>
          <w:p w14:paraId="3175164C" w14:textId="77777777" w:rsidR="00C4702C" w:rsidRDefault="00C4702C"/>
        </w:tc>
        <w:tc>
          <w:tcPr>
            <w:tcW w:w="718" w:type="dxa"/>
            <w:vAlign w:val="center"/>
          </w:tcPr>
          <w:p w14:paraId="73E53E5E" w14:textId="77777777" w:rsidR="00C4702C" w:rsidRPr="007D7907" w:rsidRDefault="00163FF5" w:rsidP="007D7907">
            <w:pPr>
              <w:jc w:val="center"/>
              <w:rPr>
                <w:b/>
              </w:rPr>
            </w:pPr>
            <w:r>
              <w:rPr>
                <w:b/>
              </w:rPr>
              <w:t>9H</w:t>
            </w:r>
          </w:p>
        </w:tc>
        <w:tc>
          <w:tcPr>
            <w:tcW w:w="2017" w:type="dxa"/>
            <w:gridSpan w:val="2"/>
            <w:vAlign w:val="center"/>
          </w:tcPr>
          <w:p w14:paraId="3C969768" w14:textId="77777777" w:rsidR="001740F3" w:rsidRPr="007D7907" w:rsidRDefault="001740F3" w:rsidP="007D7907">
            <w:pPr>
              <w:jc w:val="center"/>
              <w:rPr>
                <w:rFonts w:ascii="Calibri" w:hAnsi="Calibri"/>
                <w:b/>
                <w:color w:val="000000"/>
              </w:rPr>
            </w:pPr>
            <w:r w:rsidRPr="007D7907">
              <w:rPr>
                <w:rFonts w:ascii="Calibri" w:hAnsi="Calibri"/>
                <w:b/>
                <w:color w:val="000000"/>
              </w:rPr>
              <w:t>Vascular Surgery &amp; Transplant</w:t>
            </w:r>
          </w:p>
          <w:p w14:paraId="783B42F9" w14:textId="77777777" w:rsidR="00C4702C" w:rsidRPr="007D7907" w:rsidRDefault="00C4702C" w:rsidP="007D7907">
            <w:pPr>
              <w:jc w:val="center"/>
              <w:rPr>
                <w:b/>
              </w:rPr>
            </w:pPr>
          </w:p>
        </w:tc>
        <w:tc>
          <w:tcPr>
            <w:tcW w:w="7189" w:type="dxa"/>
            <w:gridSpan w:val="2"/>
          </w:tcPr>
          <w:p w14:paraId="148554A1" w14:textId="77777777" w:rsidR="00C4702C" w:rsidRDefault="0024695E" w:rsidP="0024695E">
            <w:r>
              <w:rPr>
                <w:rFonts w:ascii="Calibri" w:hAnsi="Calibri"/>
                <w:color w:val="000000"/>
              </w:rPr>
              <w:t xml:space="preserve">Intermediate care unit specializing in the post-operative care of for vascular disease and renal transplant patients (living &amp; deceased donor, 1:1 ratio 24hrs post-op).  This diverse unit provides opportunities to gain knowledge and experience with invasive monitoring and infusing a variety of drips. We work closely with CVICU and are known for our culture of teamwork.  </w:t>
            </w:r>
          </w:p>
        </w:tc>
      </w:tr>
      <w:tr w:rsidR="001740F3" w14:paraId="0F912AEA" w14:textId="77777777" w:rsidTr="004B2B86">
        <w:trPr>
          <w:trHeight w:val="973"/>
        </w:trPr>
        <w:tc>
          <w:tcPr>
            <w:tcW w:w="1074" w:type="dxa"/>
          </w:tcPr>
          <w:p w14:paraId="2646F406" w14:textId="77777777" w:rsidR="00C4702C" w:rsidRDefault="00C4702C" w:rsidP="00BE4AC6"/>
        </w:tc>
        <w:tc>
          <w:tcPr>
            <w:tcW w:w="718" w:type="dxa"/>
            <w:vAlign w:val="center"/>
          </w:tcPr>
          <w:p w14:paraId="0B0C63DF" w14:textId="77777777" w:rsidR="00C4702C" w:rsidRPr="007D7907" w:rsidRDefault="001740F3" w:rsidP="007D7907">
            <w:pPr>
              <w:jc w:val="center"/>
              <w:rPr>
                <w:b/>
              </w:rPr>
            </w:pPr>
            <w:r w:rsidRPr="007D7907">
              <w:rPr>
                <w:b/>
              </w:rPr>
              <w:t>5E</w:t>
            </w:r>
          </w:p>
        </w:tc>
        <w:tc>
          <w:tcPr>
            <w:tcW w:w="2017" w:type="dxa"/>
            <w:gridSpan w:val="2"/>
            <w:vAlign w:val="center"/>
          </w:tcPr>
          <w:p w14:paraId="756025BE" w14:textId="77777777" w:rsidR="001740F3" w:rsidRPr="007D7907" w:rsidRDefault="001740F3" w:rsidP="007D7907">
            <w:pPr>
              <w:jc w:val="center"/>
              <w:rPr>
                <w:rFonts w:ascii="Calibri" w:hAnsi="Calibri"/>
                <w:b/>
                <w:color w:val="000000"/>
              </w:rPr>
            </w:pPr>
            <w:r w:rsidRPr="007D7907">
              <w:rPr>
                <w:rFonts w:ascii="Calibri" w:hAnsi="Calibri"/>
                <w:b/>
                <w:color w:val="000000"/>
              </w:rPr>
              <w:t>Ortho Tra</w:t>
            </w:r>
            <w:r w:rsidR="004B2B86">
              <w:rPr>
                <w:rFonts w:ascii="Calibri" w:hAnsi="Calibri"/>
                <w:b/>
                <w:color w:val="000000"/>
              </w:rPr>
              <w:t>u</w:t>
            </w:r>
            <w:r w:rsidRPr="007D7907">
              <w:rPr>
                <w:rFonts w:ascii="Calibri" w:hAnsi="Calibri"/>
                <w:b/>
                <w:color w:val="000000"/>
              </w:rPr>
              <w:t>ma</w:t>
            </w:r>
          </w:p>
          <w:p w14:paraId="0494F206" w14:textId="77777777" w:rsidR="00C4702C" w:rsidRPr="007D7907" w:rsidRDefault="00C4702C" w:rsidP="007D7907">
            <w:pPr>
              <w:jc w:val="center"/>
              <w:rPr>
                <w:b/>
              </w:rPr>
            </w:pPr>
          </w:p>
        </w:tc>
        <w:tc>
          <w:tcPr>
            <w:tcW w:w="7189" w:type="dxa"/>
            <w:gridSpan w:val="2"/>
          </w:tcPr>
          <w:p w14:paraId="6115775E" w14:textId="77777777" w:rsidR="00C4702C" w:rsidRDefault="00BC0EC3" w:rsidP="00BC0EC3">
            <w:r>
              <w:rPr>
                <w:rFonts w:eastAsia="Times New Roman"/>
              </w:rPr>
              <w:t>Exciting, fast paced, energetic, patients with life altering events, lots of orthopedic equipment, drains, and tubes. </w:t>
            </w:r>
          </w:p>
        </w:tc>
      </w:tr>
      <w:tr w:rsidR="001740F3" w14:paraId="1A4A0ACD" w14:textId="77777777" w:rsidTr="004B2B86">
        <w:trPr>
          <w:trHeight w:val="1029"/>
        </w:trPr>
        <w:tc>
          <w:tcPr>
            <w:tcW w:w="1074" w:type="dxa"/>
          </w:tcPr>
          <w:p w14:paraId="4F281DB6" w14:textId="77777777" w:rsidR="00C4702C" w:rsidRDefault="00C4702C" w:rsidP="00BE4AC6"/>
        </w:tc>
        <w:tc>
          <w:tcPr>
            <w:tcW w:w="718" w:type="dxa"/>
            <w:vAlign w:val="center"/>
          </w:tcPr>
          <w:p w14:paraId="5108ACA1" w14:textId="77777777" w:rsidR="00C4702C" w:rsidRPr="007D7907" w:rsidRDefault="001740F3" w:rsidP="007D7907">
            <w:pPr>
              <w:jc w:val="center"/>
              <w:rPr>
                <w:b/>
              </w:rPr>
            </w:pPr>
            <w:r w:rsidRPr="007D7907">
              <w:rPr>
                <w:b/>
              </w:rPr>
              <w:t>4E</w:t>
            </w:r>
          </w:p>
        </w:tc>
        <w:tc>
          <w:tcPr>
            <w:tcW w:w="2017" w:type="dxa"/>
            <w:gridSpan w:val="2"/>
            <w:vAlign w:val="center"/>
          </w:tcPr>
          <w:p w14:paraId="54D36A56" w14:textId="77777777" w:rsidR="001740F3" w:rsidRPr="007D7907" w:rsidRDefault="00BC0EC3" w:rsidP="007D7907">
            <w:pPr>
              <w:jc w:val="center"/>
              <w:rPr>
                <w:rFonts w:ascii="Calibri" w:hAnsi="Calibri"/>
                <w:b/>
                <w:color w:val="000000"/>
              </w:rPr>
            </w:pPr>
            <w:proofErr w:type="spellStart"/>
            <w:r>
              <w:rPr>
                <w:rFonts w:ascii="Calibri" w:hAnsi="Calibri"/>
                <w:b/>
                <w:color w:val="000000"/>
              </w:rPr>
              <w:t>Gyn</w:t>
            </w:r>
            <w:proofErr w:type="spellEnd"/>
            <w:r>
              <w:rPr>
                <w:rFonts w:ascii="Calibri" w:hAnsi="Calibri"/>
                <w:b/>
                <w:color w:val="000000"/>
              </w:rPr>
              <w:t>/</w:t>
            </w:r>
            <w:r w:rsidR="001740F3" w:rsidRPr="007D7907">
              <w:rPr>
                <w:rFonts w:ascii="Calibri" w:hAnsi="Calibri"/>
                <w:b/>
                <w:color w:val="000000"/>
              </w:rPr>
              <w:t>An</w:t>
            </w:r>
            <w:r w:rsidR="00874BD6">
              <w:rPr>
                <w:rFonts w:ascii="Calibri" w:hAnsi="Calibri"/>
                <w:b/>
                <w:color w:val="000000"/>
              </w:rPr>
              <w:t>t</w:t>
            </w:r>
            <w:r w:rsidR="001740F3" w:rsidRPr="007D7907">
              <w:rPr>
                <w:rFonts w:ascii="Calibri" w:hAnsi="Calibri"/>
                <w:b/>
                <w:color w:val="000000"/>
              </w:rPr>
              <w:t>epartum</w:t>
            </w:r>
          </w:p>
          <w:p w14:paraId="4DA35AE1" w14:textId="77777777" w:rsidR="00C4702C" w:rsidRPr="007D7907" w:rsidRDefault="00C4702C" w:rsidP="007D7907">
            <w:pPr>
              <w:jc w:val="center"/>
              <w:rPr>
                <w:b/>
              </w:rPr>
            </w:pPr>
          </w:p>
        </w:tc>
        <w:tc>
          <w:tcPr>
            <w:tcW w:w="7189" w:type="dxa"/>
            <w:gridSpan w:val="2"/>
          </w:tcPr>
          <w:p w14:paraId="0EE24A53" w14:textId="77777777" w:rsidR="00C4702C" w:rsidRPr="009B6C9B" w:rsidRDefault="009B6C9B" w:rsidP="00BE4AC6">
            <w:pPr>
              <w:rPr>
                <w:rFonts w:eastAsia="Times New Roman"/>
              </w:rPr>
            </w:pPr>
            <w:r>
              <w:rPr>
                <w:rFonts w:eastAsia="Times New Roman"/>
              </w:rPr>
              <w:t>Care of high risk obstetric patients and post-surgical gynecology patients in a family centered environment </w:t>
            </w:r>
          </w:p>
        </w:tc>
      </w:tr>
      <w:tr w:rsidR="001740F3" w14:paraId="2E78EE4F" w14:textId="77777777" w:rsidTr="004B2B86">
        <w:trPr>
          <w:trHeight w:val="973"/>
        </w:trPr>
        <w:tc>
          <w:tcPr>
            <w:tcW w:w="1074" w:type="dxa"/>
          </w:tcPr>
          <w:p w14:paraId="258D1A3D" w14:textId="77777777" w:rsidR="00C4702C" w:rsidRDefault="00C4702C" w:rsidP="00BE4AC6"/>
        </w:tc>
        <w:tc>
          <w:tcPr>
            <w:tcW w:w="718" w:type="dxa"/>
            <w:vAlign w:val="center"/>
          </w:tcPr>
          <w:p w14:paraId="31345FBE" w14:textId="77777777" w:rsidR="00C4702C" w:rsidRPr="007D7907" w:rsidRDefault="00163FF5" w:rsidP="007D7907">
            <w:pPr>
              <w:jc w:val="center"/>
              <w:rPr>
                <w:b/>
              </w:rPr>
            </w:pPr>
            <w:r>
              <w:rPr>
                <w:b/>
              </w:rPr>
              <w:t>4H</w:t>
            </w:r>
          </w:p>
        </w:tc>
        <w:tc>
          <w:tcPr>
            <w:tcW w:w="2017" w:type="dxa"/>
            <w:gridSpan w:val="2"/>
            <w:vAlign w:val="center"/>
          </w:tcPr>
          <w:p w14:paraId="4149BDBC" w14:textId="77777777" w:rsidR="001740F3" w:rsidRPr="007D7907" w:rsidRDefault="001740F3" w:rsidP="007D7907">
            <w:pPr>
              <w:jc w:val="center"/>
              <w:rPr>
                <w:rFonts w:ascii="Calibri" w:hAnsi="Calibri"/>
                <w:b/>
                <w:color w:val="000000"/>
              </w:rPr>
            </w:pPr>
            <w:r w:rsidRPr="007D7907">
              <w:rPr>
                <w:rFonts w:ascii="Calibri" w:hAnsi="Calibri"/>
                <w:b/>
                <w:color w:val="000000"/>
              </w:rPr>
              <w:t>Clinical Observation Unit</w:t>
            </w:r>
          </w:p>
          <w:p w14:paraId="4500BA9A" w14:textId="77777777" w:rsidR="00C4702C" w:rsidRPr="007D7907" w:rsidRDefault="00C4702C" w:rsidP="007D7907">
            <w:pPr>
              <w:jc w:val="center"/>
              <w:rPr>
                <w:b/>
              </w:rPr>
            </w:pPr>
          </w:p>
        </w:tc>
        <w:tc>
          <w:tcPr>
            <w:tcW w:w="7189" w:type="dxa"/>
            <w:gridSpan w:val="2"/>
          </w:tcPr>
          <w:p w14:paraId="48036F9A" w14:textId="77777777" w:rsidR="001740F3" w:rsidRDefault="00BC0EC3" w:rsidP="001740F3">
            <w:pPr>
              <w:rPr>
                <w:rFonts w:ascii="Calibri" w:hAnsi="Calibri"/>
                <w:color w:val="000000"/>
              </w:rPr>
            </w:pPr>
            <w:r>
              <w:rPr>
                <w:rFonts w:ascii="Calibri" w:hAnsi="Calibri"/>
                <w:color w:val="000000"/>
              </w:rPr>
              <w:t>24-48 hour observation patients. Cardiac focused however also see a variety of other conditions. Ratios 1:4.</w:t>
            </w:r>
            <w:r w:rsidR="001740F3">
              <w:rPr>
                <w:rFonts w:ascii="Calibri" w:hAnsi="Calibri"/>
                <w:color w:val="000000"/>
              </w:rPr>
              <w:t xml:space="preserve"> </w:t>
            </w:r>
          </w:p>
          <w:p w14:paraId="46DD2FA0" w14:textId="77777777" w:rsidR="00C4702C" w:rsidRDefault="00C4702C" w:rsidP="00BE4AC6"/>
        </w:tc>
      </w:tr>
      <w:tr w:rsidR="001139AB" w14:paraId="53218F99" w14:textId="77777777" w:rsidTr="004B2B86">
        <w:trPr>
          <w:trHeight w:val="973"/>
        </w:trPr>
        <w:tc>
          <w:tcPr>
            <w:tcW w:w="1074" w:type="dxa"/>
          </w:tcPr>
          <w:p w14:paraId="705B16BA" w14:textId="77777777" w:rsidR="001139AB" w:rsidRDefault="001139AB" w:rsidP="00BE4AC6"/>
        </w:tc>
        <w:tc>
          <w:tcPr>
            <w:tcW w:w="718" w:type="dxa"/>
            <w:vAlign w:val="center"/>
          </w:tcPr>
          <w:p w14:paraId="7183C917" w14:textId="77777777" w:rsidR="001139AB" w:rsidRPr="007D7907" w:rsidRDefault="00163FF5" w:rsidP="007D7907">
            <w:pPr>
              <w:jc w:val="center"/>
              <w:rPr>
                <w:b/>
              </w:rPr>
            </w:pPr>
            <w:r>
              <w:rPr>
                <w:b/>
              </w:rPr>
              <w:t>3H</w:t>
            </w:r>
          </w:p>
        </w:tc>
        <w:tc>
          <w:tcPr>
            <w:tcW w:w="2017" w:type="dxa"/>
            <w:gridSpan w:val="2"/>
            <w:vAlign w:val="center"/>
          </w:tcPr>
          <w:p w14:paraId="67C66A5E" w14:textId="77777777" w:rsidR="001139AB" w:rsidRPr="007D7907" w:rsidRDefault="001139AB" w:rsidP="007D7907">
            <w:pPr>
              <w:jc w:val="center"/>
              <w:rPr>
                <w:rFonts w:ascii="Calibri" w:hAnsi="Calibri"/>
                <w:b/>
                <w:color w:val="000000"/>
              </w:rPr>
            </w:pPr>
            <w:r w:rsidRPr="007D7907">
              <w:rPr>
                <w:rFonts w:ascii="Calibri" w:hAnsi="Calibri"/>
                <w:b/>
                <w:color w:val="000000"/>
              </w:rPr>
              <w:t>Mother/Baby</w:t>
            </w:r>
          </w:p>
          <w:p w14:paraId="41EB9175" w14:textId="77777777" w:rsidR="001139AB" w:rsidRPr="007D7907" w:rsidRDefault="001139AB" w:rsidP="007D7907">
            <w:pPr>
              <w:jc w:val="center"/>
              <w:rPr>
                <w:rFonts w:ascii="Calibri" w:hAnsi="Calibri"/>
                <w:b/>
                <w:color w:val="000000"/>
              </w:rPr>
            </w:pPr>
          </w:p>
        </w:tc>
        <w:tc>
          <w:tcPr>
            <w:tcW w:w="7189" w:type="dxa"/>
            <w:gridSpan w:val="2"/>
          </w:tcPr>
          <w:p w14:paraId="05381245" w14:textId="77777777" w:rsidR="001139AB" w:rsidRPr="00264267" w:rsidRDefault="00264267" w:rsidP="001740F3">
            <w:r w:rsidRPr="00264267">
              <w:t>We provide couplet care to postpartum mothers and newborns. We serve a diverse population &amp; are a high risk regional referral center often caring for complex patients. If you love teaching, this is a great unit for you. We provide a lot of education for both mom &amp; baby. Occasionally, we will have antepartum or gynecology patients. We have great teamwork &amp; a family atmosphere!</w:t>
            </w:r>
          </w:p>
        </w:tc>
      </w:tr>
      <w:tr w:rsidR="009B6C9B" w14:paraId="13A564DF" w14:textId="77777777" w:rsidTr="004B2B86">
        <w:trPr>
          <w:trHeight w:val="973"/>
        </w:trPr>
        <w:tc>
          <w:tcPr>
            <w:tcW w:w="1074" w:type="dxa"/>
          </w:tcPr>
          <w:p w14:paraId="498EB2B4" w14:textId="77777777" w:rsidR="009B6C9B" w:rsidRDefault="009B6C9B" w:rsidP="00BE4AC6"/>
        </w:tc>
        <w:tc>
          <w:tcPr>
            <w:tcW w:w="718" w:type="dxa"/>
            <w:vAlign w:val="center"/>
          </w:tcPr>
          <w:p w14:paraId="026A803B" w14:textId="77777777" w:rsidR="009B6C9B" w:rsidRPr="007D7907" w:rsidRDefault="009B6C9B" w:rsidP="007D7907">
            <w:pPr>
              <w:jc w:val="center"/>
              <w:rPr>
                <w:b/>
              </w:rPr>
            </w:pPr>
            <w:r>
              <w:rPr>
                <w:b/>
              </w:rPr>
              <w:t>3E</w:t>
            </w:r>
          </w:p>
        </w:tc>
        <w:tc>
          <w:tcPr>
            <w:tcW w:w="2017" w:type="dxa"/>
            <w:gridSpan w:val="2"/>
            <w:vAlign w:val="center"/>
          </w:tcPr>
          <w:p w14:paraId="4AC60CEF" w14:textId="77777777" w:rsidR="009B6C9B" w:rsidRPr="007D7907" w:rsidRDefault="009B6C9B" w:rsidP="007D7907">
            <w:pPr>
              <w:jc w:val="center"/>
              <w:rPr>
                <w:rFonts w:ascii="Calibri" w:hAnsi="Calibri"/>
                <w:b/>
                <w:color w:val="000000"/>
              </w:rPr>
            </w:pPr>
            <w:r>
              <w:rPr>
                <w:rFonts w:ascii="Calibri" w:hAnsi="Calibri"/>
                <w:b/>
                <w:color w:val="000000"/>
              </w:rPr>
              <w:t>Labor and Delivery</w:t>
            </w:r>
          </w:p>
        </w:tc>
        <w:tc>
          <w:tcPr>
            <w:tcW w:w="7189" w:type="dxa"/>
            <w:gridSpan w:val="2"/>
          </w:tcPr>
          <w:p w14:paraId="2AEAFAD4" w14:textId="77777777" w:rsidR="009B6C9B" w:rsidRPr="00264267" w:rsidRDefault="009B6C9B" w:rsidP="001740F3">
            <w:r>
              <w:rPr>
                <w:rFonts w:eastAsia="Times New Roman"/>
              </w:rPr>
              <w:t>Care of high risk obstetrical patients in a patient centered environment.</w:t>
            </w:r>
          </w:p>
        </w:tc>
      </w:tr>
      <w:tr w:rsidR="00435E9B" w14:paraId="1C5672B9" w14:textId="77777777" w:rsidTr="004B2B86">
        <w:trPr>
          <w:trHeight w:val="973"/>
        </w:trPr>
        <w:tc>
          <w:tcPr>
            <w:tcW w:w="1074" w:type="dxa"/>
          </w:tcPr>
          <w:p w14:paraId="4B1B67EC" w14:textId="77777777" w:rsidR="00435E9B" w:rsidRDefault="00435E9B" w:rsidP="00BE4AC6"/>
        </w:tc>
        <w:tc>
          <w:tcPr>
            <w:tcW w:w="718" w:type="dxa"/>
            <w:vAlign w:val="center"/>
          </w:tcPr>
          <w:p w14:paraId="756EA950" w14:textId="77777777" w:rsidR="00435E9B" w:rsidRPr="007D7907" w:rsidRDefault="00435E9B" w:rsidP="007D7907">
            <w:pPr>
              <w:jc w:val="center"/>
              <w:rPr>
                <w:b/>
              </w:rPr>
            </w:pPr>
            <w:r>
              <w:rPr>
                <w:b/>
              </w:rPr>
              <w:t>3E</w:t>
            </w:r>
          </w:p>
        </w:tc>
        <w:tc>
          <w:tcPr>
            <w:tcW w:w="2017" w:type="dxa"/>
            <w:gridSpan w:val="2"/>
            <w:vAlign w:val="center"/>
          </w:tcPr>
          <w:p w14:paraId="31626770" w14:textId="77777777" w:rsidR="00435E9B" w:rsidRPr="007D7907" w:rsidRDefault="00435E9B" w:rsidP="007D7907">
            <w:pPr>
              <w:jc w:val="center"/>
              <w:rPr>
                <w:rFonts w:ascii="Calibri" w:hAnsi="Calibri"/>
                <w:b/>
                <w:color w:val="000000"/>
              </w:rPr>
            </w:pPr>
            <w:r>
              <w:rPr>
                <w:rFonts w:ascii="Calibri" w:hAnsi="Calibri"/>
                <w:b/>
                <w:color w:val="000000"/>
              </w:rPr>
              <w:t>Neonatal Intensive Care Unit</w:t>
            </w:r>
          </w:p>
        </w:tc>
        <w:tc>
          <w:tcPr>
            <w:tcW w:w="7189" w:type="dxa"/>
            <w:gridSpan w:val="2"/>
          </w:tcPr>
          <w:p w14:paraId="2726F374" w14:textId="77777777" w:rsidR="00435E9B" w:rsidRDefault="00BC0EC3" w:rsidP="001740F3">
            <w:pPr>
              <w:rPr>
                <w:rFonts w:ascii="Calibri" w:hAnsi="Calibri"/>
                <w:color w:val="000000"/>
              </w:rPr>
            </w:pPr>
            <w:r>
              <w:rPr>
                <w:rFonts w:ascii="Calibri" w:hAnsi="Calibri"/>
                <w:color w:val="000000"/>
              </w:rPr>
              <w:t>Care of critically ill premature and newborn babies.</w:t>
            </w:r>
          </w:p>
        </w:tc>
      </w:tr>
      <w:tr w:rsidR="001139AB" w14:paraId="7681E13D" w14:textId="77777777" w:rsidTr="004B2B86">
        <w:trPr>
          <w:trHeight w:val="973"/>
        </w:trPr>
        <w:tc>
          <w:tcPr>
            <w:tcW w:w="1074" w:type="dxa"/>
          </w:tcPr>
          <w:p w14:paraId="3B7BE4EB" w14:textId="77777777" w:rsidR="001139AB" w:rsidRDefault="001139AB" w:rsidP="00BE4AC6"/>
        </w:tc>
        <w:tc>
          <w:tcPr>
            <w:tcW w:w="718" w:type="dxa"/>
            <w:vAlign w:val="center"/>
          </w:tcPr>
          <w:p w14:paraId="1B09F0AD" w14:textId="77777777" w:rsidR="001139AB" w:rsidRPr="007D7907" w:rsidRDefault="001139AB" w:rsidP="007D7907">
            <w:pPr>
              <w:jc w:val="center"/>
              <w:rPr>
                <w:b/>
              </w:rPr>
            </w:pPr>
            <w:r w:rsidRPr="007D7907">
              <w:rPr>
                <w:b/>
              </w:rPr>
              <w:t>7S</w:t>
            </w:r>
          </w:p>
        </w:tc>
        <w:tc>
          <w:tcPr>
            <w:tcW w:w="2017" w:type="dxa"/>
            <w:gridSpan w:val="2"/>
            <w:vAlign w:val="center"/>
          </w:tcPr>
          <w:p w14:paraId="6762E680" w14:textId="77777777" w:rsidR="001139AB" w:rsidRPr="007D7907" w:rsidRDefault="001139AB" w:rsidP="007D7907">
            <w:pPr>
              <w:jc w:val="center"/>
              <w:rPr>
                <w:rFonts w:ascii="Calibri" w:hAnsi="Calibri"/>
                <w:b/>
                <w:color w:val="000000"/>
              </w:rPr>
            </w:pPr>
            <w:r w:rsidRPr="007D7907">
              <w:rPr>
                <w:rFonts w:ascii="Calibri" w:hAnsi="Calibri"/>
                <w:b/>
                <w:color w:val="000000"/>
              </w:rPr>
              <w:t>Neuro Stroke Unit</w:t>
            </w:r>
          </w:p>
          <w:p w14:paraId="5831AB8B" w14:textId="77777777" w:rsidR="001139AB" w:rsidRPr="007D7907" w:rsidRDefault="001139AB" w:rsidP="007D7907">
            <w:pPr>
              <w:jc w:val="center"/>
              <w:rPr>
                <w:rFonts w:ascii="Calibri" w:hAnsi="Calibri"/>
                <w:b/>
                <w:color w:val="000000"/>
              </w:rPr>
            </w:pPr>
          </w:p>
        </w:tc>
        <w:tc>
          <w:tcPr>
            <w:tcW w:w="7189" w:type="dxa"/>
            <w:gridSpan w:val="2"/>
          </w:tcPr>
          <w:p w14:paraId="048ED4AF" w14:textId="77777777" w:rsidR="001139AB" w:rsidRPr="00686863" w:rsidRDefault="00686863" w:rsidP="00686863">
            <w:pPr>
              <w:rPr>
                <w:color w:val="1F497D"/>
              </w:rPr>
            </w:pPr>
            <w:r w:rsidRPr="000145F7">
              <w:t>Certified Comprehensive Stroke Center.  Interdisciplinary team care including 24/7 stroke certified NP/RN coverage.  2015 AHA/ASA Get With the Guidelines Gold Plus Award and Target Stoke Honor Roll.  Stroke/neuro expert nurses including Advanced Stroke Life Support (ASLS) certification.  Great environment and team work.</w:t>
            </w:r>
          </w:p>
        </w:tc>
      </w:tr>
      <w:tr w:rsidR="001139AB" w14:paraId="01F1E981" w14:textId="77777777" w:rsidTr="00D26BEF">
        <w:trPr>
          <w:trHeight w:val="962"/>
        </w:trPr>
        <w:tc>
          <w:tcPr>
            <w:tcW w:w="1074" w:type="dxa"/>
          </w:tcPr>
          <w:p w14:paraId="6FAACCAE" w14:textId="77777777" w:rsidR="001139AB" w:rsidRDefault="001139AB" w:rsidP="00BE4AC6"/>
        </w:tc>
        <w:tc>
          <w:tcPr>
            <w:tcW w:w="718" w:type="dxa"/>
            <w:vAlign w:val="center"/>
          </w:tcPr>
          <w:p w14:paraId="067B223B" w14:textId="77777777" w:rsidR="001139AB" w:rsidRPr="007D7907" w:rsidRDefault="001139AB" w:rsidP="007D7907">
            <w:pPr>
              <w:jc w:val="center"/>
              <w:rPr>
                <w:b/>
              </w:rPr>
            </w:pPr>
            <w:r w:rsidRPr="007D7907">
              <w:rPr>
                <w:b/>
              </w:rPr>
              <w:t>6S</w:t>
            </w:r>
          </w:p>
        </w:tc>
        <w:tc>
          <w:tcPr>
            <w:tcW w:w="2017" w:type="dxa"/>
            <w:gridSpan w:val="2"/>
            <w:vAlign w:val="center"/>
          </w:tcPr>
          <w:p w14:paraId="3CDCDE04" w14:textId="77777777" w:rsidR="001139AB" w:rsidRPr="007D7907" w:rsidRDefault="001139AB" w:rsidP="007D7907">
            <w:pPr>
              <w:jc w:val="center"/>
              <w:rPr>
                <w:rFonts w:ascii="Calibri" w:hAnsi="Calibri"/>
                <w:b/>
                <w:color w:val="000000"/>
              </w:rPr>
            </w:pPr>
            <w:r w:rsidRPr="007D7907">
              <w:rPr>
                <w:rFonts w:ascii="Calibri" w:hAnsi="Calibri"/>
                <w:b/>
                <w:color w:val="000000"/>
              </w:rPr>
              <w:t>Neuro Spine</w:t>
            </w:r>
          </w:p>
          <w:p w14:paraId="003E1C38" w14:textId="77777777" w:rsidR="001139AB" w:rsidRPr="007D7907" w:rsidRDefault="001139AB" w:rsidP="007D7907">
            <w:pPr>
              <w:jc w:val="center"/>
              <w:rPr>
                <w:b/>
              </w:rPr>
            </w:pPr>
          </w:p>
        </w:tc>
        <w:tc>
          <w:tcPr>
            <w:tcW w:w="7189" w:type="dxa"/>
            <w:gridSpan w:val="2"/>
          </w:tcPr>
          <w:p w14:paraId="69CD3EDF" w14:textId="77777777" w:rsidR="001139AB" w:rsidRDefault="00D26BEF" w:rsidP="00BE4AC6">
            <w:r>
              <w:t>New unit, elective neuro surgical patients who made a decision to be a patient, Overflow neuro/stoke patients, Long term monitoring for patients with seizure disorders</w:t>
            </w:r>
          </w:p>
        </w:tc>
      </w:tr>
      <w:tr w:rsidR="001139AB" w14:paraId="51E052FE" w14:textId="77777777" w:rsidTr="004B2B86">
        <w:trPr>
          <w:trHeight w:val="973"/>
        </w:trPr>
        <w:tc>
          <w:tcPr>
            <w:tcW w:w="1074" w:type="dxa"/>
          </w:tcPr>
          <w:p w14:paraId="3897985C" w14:textId="77777777" w:rsidR="001139AB" w:rsidRDefault="001139AB" w:rsidP="00BE4AC6"/>
        </w:tc>
        <w:tc>
          <w:tcPr>
            <w:tcW w:w="718" w:type="dxa"/>
            <w:vAlign w:val="center"/>
          </w:tcPr>
          <w:p w14:paraId="2ABCD87E" w14:textId="77777777" w:rsidR="001139AB" w:rsidRPr="007D7907" w:rsidRDefault="001139AB" w:rsidP="007D7907">
            <w:pPr>
              <w:jc w:val="center"/>
              <w:rPr>
                <w:b/>
              </w:rPr>
            </w:pPr>
            <w:r w:rsidRPr="007D7907">
              <w:rPr>
                <w:b/>
              </w:rPr>
              <w:t>5S</w:t>
            </w:r>
          </w:p>
        </w:tc>
        <w:tc>
          <w:tcPr>
            <w:tcW w:w="2017" w:type="dxa"/>
            <w:gridSpan w:val="2"/>
            <w:vAlign w:val="center"/>
          </w:tcPr>
          <w:p w14:paraId="29CA26CD" w14:textId="77777777" w:rsidR="001139AB" w:rsidRPr="007D7907" w:rsidRDefault="001139AB" w:rsidP="007D7907">
            <w:pPr>
              <w:jc w:val="center"/>
              <w:rPr>
                <w:rFonts w:ascii="Calibri" w:hAnsi="Calibri"/>
                <w:b/>
                <w:color w:val="000000"/>
              </w:rPr>
            </w:pPr>
            <w:r w:rsidRPr="007D7907">
              <w:rPr>
                <w:rFonts w:ascii="Calibri" w:hAnsi="Calibri"/>
                <w:b/>
                <w:color w:val="000000"/>
              </w:rPr>
              <w:t>Progressive Care Unit</w:t>
            </w:r>
          </w:p>
          <w:p w14:paraId="4B3F55D2" w14:textId="77777777" w:rsidR="001139AB" w:rsidRPr="007D7907" w:rsidRDefault="001139AB" w:rsidP="007D7907">
            <w:pPr>
              <w:jc w:val="center"/>
              <w:rPr>
                <w:b/>
              </w:rPr>
            </w:pPr>
          </w:p>
        </w:tc>
        <w:tc>
          <w:tcPr>
            <w:tcW w:w="7189" w:type="dxa"/>
            <w:gridSpan w:val="2"/>
          </w:tcPr>
          <w:p w14:paraId="57CC40D7" w14:textId="77777777" w:rsidR="001139AB" w:rsidRPr="00264267" w:rsidRDefault="00264267" w:rsidP="00264267">
            <w:pPr>
              <w:rPr>
                <w:rFonts w:ascii="Calibri" w:hAnsi="Calibri"/>
                <w:color w:val="000000"/>
              </w:rPr>
            </w:pPr>
            <w:r w:rsidRPr="00264267">
              <w:rPr>
                <w:rFonts w:ascii="Calibri" w:hAnsi="Calibri"/>
                <w:color w:val="000000"/>
              </w:rPr>
              <w:t>PCU patients are moderately stable with a high potential for becoming unstable. PCU RNs care for a patients with a variety of medical and surgical problems including cardiac, pulmonary, moderately stable trauma, non-invasive ventilation (</w:t>
            </w:r>
            <w:proofErr w:type="spellStart"/>
            <w:r w:rsidRPr="00264267">
              <w:rPr>
                <w:rFonts w:ascii="Calibri" w:hAnsi="Calibri"/>
                <w:color w:val="000000"/>
              </w:rPr>
              <w:t>Bipap</w:t>
            </w:r>
            <w:proofErr w:type="spellEnd"/>
            <w:r w:rsidRPr="00264267">
              <w:rPr>
                <w:rFonts w:ascii="Calibri" w:hAnsi="Calibri"/>
                <w:color w:val="000000"/>
              </w:rPr>
              <w:t xml:space="preserve">), mechanical ventilation via tracheostomy tube and approved drips. PCU is staffed with professional and ancillary staff including a designated Respiratory Therapist. </w:t>
            </w:r>
          </w:p>
        </w:tc>
      </w:tr>
      <w:tr w:rsidR="001139AB" w14:paraId="132C2B0B" w14:textId="77777777" w:rsidTr="004B2B86">
        <w:trPr>
          <w:trHeight w:val="1029"/>
        </w:trPr>
        <w:tc>
          <w:tcPr>
            <w:tcW w:w="1074" w:type="dxa"/>
          </w:tcPr>
          <w:p w14:paraId="25DCC0C7" w14:textId="77777777" w:rsidR="001139AB" w:rsidRDefault="001139AB" w:rsidP="00BE4AC6"/>
        </w:tc>
        <w:tc>
          <w:tcPr>
            <w:tcW w:w="718" w:type="dxa"/>
            <w:vAlign w:val="center"/>
          </w:tcPr>
          <w:p w14:paraId="20DC585A" w14:textId="77777777" w:rsidR="001139AB" w:rsidRPr="007D7907" w:rsidRDefault="001139AB" w:rsidP="007D7907">
            <w:pPr>
              <w:jc w:val="center"/>
              <w:rPr>
                <w:b/>
              </w:rPr>
            </w:pPr>
            <w:r w:rsidRPr="007D7907">
              <w:rPr>
                <w:b/>
              </w:rPr>
              <w:t>4S</w:t>
            </w:r>
          </w:p>
        </w:tc>
        <w:tc>
          <w:tcPr>
            <w:tcW w:w="2017" w:type="dxa"/>
            <w:gridSpan w:val="2"/>
            <w:vAlign w:val="center"/>
          </w:tcPr>
          <w:p w14:paraId="4036482A" w14:textId="77777777" w:rsidR="001139AB" w:rsidRPr="007D7907" w:rsidRDefault="001139AB" w:rsidP="007D7907">
            <w:pPr>
              <w:jc w:val="center"/>
              <w:rPr>
                <w:rFonts w:ascii="Calibri" w:hAnsi="Calibri"/>
                <w:b/>
                <w:color w:val="000000"/>
              </w:rPr>
            </w:pPr>
            <w:r w:rsidRPr="007D7907">
              <w:rPr>
                <w:rFonts w:ascii="Calibri" w:hAnsi="Calibri"/>
                <w:b/>
                <w:color w:val="000000"/>
              </w:rPr>
              <w:t>Renal Med/</w:t>
            </w:r>
            <w:proofErr w:type="spellStart"/>
            <w:r w:rsidRPr="007D7907">
              <w:rPr>
                <w:rFonts w:ascii="Calibri" w:hAnsi="Calibri"/>
                <w:b/>
                <w:color w:val="000000"/>
              </w:rPr>
              <w:t>Surg</w:t>
            </w:r>
            <w:proofErr w:type="spellEnd"/>
          </w:p>
          <w:p w14:paraId="7D7B5A6E" w14:textId="77777777" w:rsidR="001139AB" w:rsidRPr="007D7907" w:rsidRDefault="001139AB" w:rsidP="007D7907">
            <w:pPr>
              <w:jc w:val="center"/>
              <w:rPr>
                <w:b/>
              </w:rPr>
            </w:pPr>
          </w:p>
        </w:tc>
        <w:tc>
          <w:tcPr>
            <w:tcW w:w="7189" w:type="dxa"/>
            <w:gridSpan w:val="2"/>
          </w:tcPr>
          <w:p w14:paraId="004932BD" w14:textId="77777777" w:rsidR="001139AB" w:rsidRDefault="009B086F" w:rsidP="00BE4AC6">
            <w:r>
              <w:rPr>
                <w:rFonts w:ascii="Calibri" w:hAnsi="Calibri"/>
                <w:color w:val="000000"/>
              </w:rPr>
              <w:t>Caring for 40% renal patient population and 60% medical surgical.  Our RNs do peritoneal dialysis for the entire organization. Solid foundation in medical surgical knowledge caring</w:t>
            </w:r>
            <w:r w:rsidR="00F40BA3">
              <w:rPr>
                <w:rFonts w:ascii="Calibri" w:hAnsi="Calibri"/>
                <w:color w:val="000000"/>
              </w:rPr>
              <w:t xml:space="preserve"> for a wide variety of patients to prepare you for your future.</w:t>
            </w:r>
            <w:r>
              <w:rPr>
                <w:rFonts w:ascii="Calibri" w:hAnsi="Calibri"/>
                <w:color w:val="000000"/>
              </w:rPr>
              <w:t xml:space="preserve"> All levels of experience for support. Teamwork and motivated to help one another.</w:t>
            </w:r>
          </w:p>
        </w:tc>
      </w:tr>
      <w:tr w:rsidR="0024695E" w14:paraId="7EB88636" w14:textId="77777777" w:rsidTr="004B2B86">
        <w:trPr>
          <w:trHeight w:val="1029"/>
        </w:trPr>
        <w:tc>
          <w:tcPr>
            <w:tcW w:w="1074" w:type="dxa"/>
          </w:tcPr>
          <w:p w14:paraId="207C092F" w14:textId="77777777" w:rsidR="0024695E" w:rsidRDefault="0024695E" w:rsidP="00BE4AC6"/>
        </w:tc>
        <w:tc>
          <w:tcPr>
            <w:tcW w:w="718" w:type="dxa"/>
            <w:vAlign w:val="center"/>
          </w:tcPr>
          <w:p w14:paraId="51791D28" w14:textId="77777777" w:rsidR="0024695E" w:rsidRPr="007D7907" w:rsidRDefault="00163FF5" w:rsidP="007D7907">
            <w:pPr>
              <w:jc w:val="center"/>
              <w:rPr>
                <w:b/>
              </w:rPr>
            </w:pPr>
            <w:r>
              <w:rPr>
                <w:b/>
              </w:rPr>
              <w:t>2E</w:t>
            </w:r>
          </w:p>
        </w:tc>
        <w:tc>
          <w:tcPr>
            <w:tcW w:w="2017" w:type="dxa"/>
            <w:gridSpan w:val="2"/>
            <w:vAlign w:val="center"/>
          </w:tcPr>
          <w:p w14:paraId="2E6065B8" w14:textId="77777777" w:rsidR="0024695E" w:rsidRPr="007D7907" w:rsidRDefault="00362543" w:rsidP="007D7907">
            <w:pPr>
              <w:jc w:val="center"/>
              <w:rPr>
                <w:rFonts w:ascii="Calibri" w:hAnsi="Calibri"/>
                <w:b/>
                <w:color w:val="000000"/>
              </w:rPr>
            </w:pPr>
            <w:r>
              <w:rPr>
                <w:rFonts w:ascii="Calibri" w:hAnsi="Calibri"/>
                <w:b/>
                <w:color w:val="000000"/>
              </w:rPr>
              <w:t>Surgery</w:t>
            </w:r>
          </w:p>
        </w:tc>
        <w:tc>
          <w:tcPr>
            <w:tcW w:w="7189" w:type="dxa"/>
            <w:gridSpan w:val="2"/>
          </w:tcPr>
          <w:p w14:paraId="432B03AF" w14:textId="77777777" w:rsidR="0024695E" w:rsidRDefault="0024695E" w:rsidP="0024695E">
            <w:pPr>
              <w:rPr>
                <w:rFonts w:ascii="Tahoma" w:eastAsia="Times New Roman" w:hAnsi="Tahoma" w:cs="Tahoma"/>
                <w:color w:val="000000"/>
                <w:sz w:val="20"/>
                <w:szCs w:val="20"/>
              </w:rPr>
            </w:pPr>
            <w:r>
              <w:rPr>
                <w:rFonts w:ascii="Tahoma" w:eastAsia="Times New Roman" w:hAnsi="Tahoma" w:cs="Tahoma"/>
                <w:color w:val="000000"/>
                <w:sz w:val="20"/>
                <w:szCs w:val="20"/>
              </w:rPr>
              <w:t xml:space="preserve">Pre and post op area for predominately </w:t>
            </w:r>
            <w:proofErr w:type="spellStart"/>
            <w:r>
              <w:rPr>
                <w:rFonts w:ascii="Tahoma" w:eastAsia="Times New Roman" w:hAnsi="Tahoma" w:cs="Tahoma"/>
                <w:color w:val="000000"/>
                <w:sz w:val="20"/>
                <w:szCs w:val="20"/>
              </w:rPr>
              <w:t>gyn</w:t>
            </w:r>
            <w:proofErr w:type="spellEnd"/>
            <w:r>
              <w:rPr>
                <w:rFonts w:ascii="Tahoma" w:eastAsia="Times New Roman" w:hAnsi="Tahoma" w:cs="Tahoma"/>
                <w:color w:val="000000"/>
                <w:sz w:val="20"/>
                <w:szCs w:val="20"/>
              </w:rPr>
              <w:t xml:space="preserve"> patients and lower acuity patients with less invasive procedures. Mix of in and out patients. 3 South is open 0530 to 1830 Mon-Fri.</w:t>
            </w:r>
          </w:p>
          <w:p w14:paraId="6439211F" w14:textId="77777777" w:rsidR="0024695E" w:rsidRDefault="0024695E" w:rsidP="001740F3">
            <w:pPr>
              <w:rPr>
                <w:rFonts w:ascii="Calibri" w:hAnsi="Calibri"/>
                <w:color w:val="000000"/>
              </w:rPr>
            </w:pPr>
          </w:p>
        </w:tc>
      </w:tr>
      <w:tr w:rsidR="001139AB" w14:paraId="10C07302" w14:textId="77777777" w:rsidTr="004B2B86">
        <w:trPr>
          <w:trHeight w:val="1029"/>
        </w:trPr>
        <w:tc>
          <w:tcPr>
            <w:tcW w:w="1074" w:type="dxa"/>
          </w:tcPr>
          <w:p w14:paraId="0801D1A9" w14:textId="77777777" w:rsidR="001139AB" w:rsidRDefault="001139AB" w:rsidP="00BE4AC6"/>
        </w:tc>
        <w:tc>
          <w:tcPr>
            <w:tcW w:w="718" w:type="dxa"/>
            <w:vAlign w:val="center"/>
          </w:tcPr>
          <w:p w14:paraId="48D5069A" w14:textId="77777777" w:rsidR="001139AB" w:rsidRPr="007D7907" w:rsidRDefault="001139AB" w:rsidP="007D7907">
            <w:pPr>
              <w:jc w:val="center"/>
              <w:rPr>
                <w:b/>
              </w:rPr>
            </w:pPr>
            <w:r w:rsidRPr="007D7907">
              <w:rPr>
                <w:b/>
              </w:rPr>
              <w:t>4H</w:t>
            </w:r>
          </w:p>
        </w:tc>
        <w:tc>
          <w:tcPr>
            <w:tcW w:w="2017" w:type="dxa"/>
            <w:gridSpan w:val="2"/>
            <w:vAlign w:val="center"/>
          </w:tcPr>
          <w:p w14:paraId="2F6B235A" w14:textId="77777777" w:rsidR="001139AB" w:rsidRPr="007D7907" w:rsidRDefault="001139AB" w:rsidP="007D7907">
            <w:pPr>
              <w:jc w:val="center"/>
              <w:rPr>
                <w:rFonts w:ascii="Calibri" w:hAnsi="Calibri"/>
                <w:b/>
                <w:color w:val="000000"/>
              </w:rPr>
            </w:pPr>
            <w:r w:rsidRPr="007D7907">
              <w:rPr>
                <w:rFonts w:ascii="Calibri" w:hAnsi="Calibri"/>
                <w:b/>
                <w:color w:val="000000"/>
              </w:rPr>
              <w:t>Cardiology 4 Heart</w:t>
            </w:r>
          </w:p>
          <w:p w14:paraId="3C3812A1" w14:textId="77777777" w:rsidR="001139AB" w:rsidRPr="007D7907" w:rsidRDefault="001139AB" w:rsidP="007D7907">
            <w:pPr>
              <w:jc w:val="center"/>
              <w:rPr>
                <w:b/>
              </w:rPr>
            </w:pPr>
          </w:p>
        </w:tc>
        <w:tc>
          <w:tcPr>
            <w:tcW w:w="7189" w:type="dxa"/>
            <w:gridSpan w:val="2"/>
          </w:tcPr>
          <w:p w14:paraId="4E2F89A6" w14:textId="77777777" w:rsidR="001139AB" w:rsidRPr="00262D8F" w:rsidRDefault="00BC0EC3" w:rsidP="00BE4AC6">
            <w:pPr>
              <w:rPr>
                <w:rFonts w:ascii="Calibri" w:hAnsi="Calibri"/>
                <w:color w:val="000000"/>
              </w:rPr>
            </w:pPr>
            <w:r>
              <w:rPr>
                <w:rFonts w:ascii="Calibri" w:hAnsi="Calibri"/>
                <w:color w:val="000000"/>
              </w:rPr>
              <w:t xml:space="preserve">Works closely with </w:t>
            </w:r>
            <w:proofErr w:type="spellStart"/>
            <w:r>
              <w:rPr>
                <w:rFonts w:ascii="Calibri" w:hAnsi="Calibri"/>
                <w:color w:val="000000"/>
              </w:rPr>
              <w:t>cath</w:t>
            </w:r>
            <w:proofErr w:type="spellEnd"/>
            <w:r>
              <w:rPr>
                <w:rFonts w:ascii="Calibri" w:hAnsi="Calibri"/>
                <w:color w:val="000000"/>
              </w:rPr>
              <w:t xml:space="preserve"> lab and ED. Only unit outside of critical care to pull sheaths. </w:t>
            </w:r>
            <w:r w:rsidR="00262D8F">
              <w:rPr>
                <w:rFonts w:ascii="Calibri" w:hAnsi="Calibri"/>
                <w:color w:val="000000"/>
              </w:rPr>
              <w:t xml:space="preserve">Patient population includes post heart </w:t>
            </w:r>
            <w:proofErr w:type="spellStart"/>
            <w:r w:rsidR="00262D8F">
              <w:rPr>
                <w:rFonts w:ascii="Calibri" w:hAnsi="Calibri"/>
                <w:color w:val="000000"/>
              </w:rPr>
              <w:t>cath</w:t>
            </w:r>
            <w:proofErr w:type="spellEnd"/>
            <w:r w:rsidR="00262D8F">
              <w:rPr>
                <w:rFonts w:ascii="Calibri" w:hAnsi="Calibri"/>
                <w:color w:val="000000"/>
              </w:rPr>
              <w:t>, post defibrillator, pacemakers, ablations, and medical management of complex cardiac conditions. 1:5 nurse patient ratio. New unit with strong nursing input on design.</w:t>
            </w:r>
          </w:p>
        </w:tc>
      </w:tr>
      <w:tr w:rsidR="001139AB" w14:paraId="5D07C9C8" w14:textId="77777777" w:rsidTr="004B2B86">
        <w:trPr>
          <w:trHeight w:val="973"/>
        </w:trPr>
        <w:tc>
          <w:tcPr>
            <w:tcW w:w="1074" w:type="dxa"/>
          </w:tcPr>
          <w:p w14:paraId="4208D510" w14:textId="77777777" w:rsidR="001139AB" w:rsidRDefault="001139AB" w:rsidP="00BE4AC6"/>
        </w:tc>
        <w:tc>
          <w:tcPr>
            <w:tcW w:w="718" w:type="dxa"/>
            <w:vAlign w:val="center"/>
          </w:tcPr>
          <w:p w14:paraId="67E2AFA3" w14:textId="77777777" w:rsidR="001139AB" w:rsidRPr="007D7907" w:rsidRDefault="00163FF5" w:rsidP="007D7907">
            <w:pPr>
              <w:jc w:val="center"/>
              <w:rPr>
                <w:b/>
              </w:rPr>
            </w:pPr>
            <w:r>
              <w:rPr>
                <w:b/>
              </w:rPr>
              <w:t>7H</w:t>
            </w:r>
          </w:p>
        </w:tc>
        <w:tc>
          <w:tcPr>
            <w:tcW w:w="2017" w:type="dxa"/>
            <w:gridSpan w:val="2"/>
            <w:vAlign w:val="center"/>
          </w:tcPr>
          <w:p w14:paraId="7E78DE79" w14:textId="77777777" w:rsidR="001139AB" w:rsidRPr="007D7907" w:rsidRDefault="001139AB" w:rsidP="007D7907">
            <w:pPr>
              <w:jc w:val="center"/>
              <w:rPr>
                <w:rFonts w:ascii="Calibri" w:hAnsi="Calibri"/>
                <w:b/>
                <w:color w:val="000000"/>
              </w:rPr>
            </w:pPr>
            <w:r w:rsidRPr="007D7907">
              <w:rPr>
                <w:rFonts w:ascii="Calibri" w:hAnsi="Calibri"/>
                <w:b/>
                <w:color w:val="000000"/>
              </w:rPr>
              <w:t>Cardiothoracic Surgery Unit</w:t>
            </w:r>
          </w:p>
          <w:p w14:paraId="7DFBB520" w14:textId="77777777" w:rsidR="001139AB" w:rsidRPr="007D7907" w:rsidRDefault="001139AB" w:rsidP="007D7907">
            <w:pPr>
              <w:jc w:val="center"/>
              <w:rPr>
                <w:b/>
              </w:rPr>
            </w:pPr>
          </w:p>
        </w:tc>
        <w:tc>
          <w:tcPr>
            <w:tcW w:w="7189" w:type="dxa"/>
            <w:gridSpan w:val="2"/>
          </w:tcPr>
          <w:p w14:paraId="3C607F7E" w14:textId="77777777" w:rsidR="001139AB" w:rsidRDefault="00816FB3" w:rsidP="00BE4AC6">
            <w:r>
              <w:t>Cardiothoracic surgical patients, Heart Failure, overflow for COPD, CVA/TIA.  Ratio vary to acuity.</w:t>
            </w:r>
          </w:p>
        </w:tc>
      </w:tr>
      <w:tr w:rsidR="009B086F" w14:paraId="51C9B05C" w14:textId="77777777" w:rsidTr="004B2B86">
        <w:trPr>
          <w:trHeight w:val="973"/>
        </w:trPr>
        <w:tc>
          <w:tcPr>
            <w:tcW w:w="1074" w:type="dxa"/>
          </w:tcPr>
          <w:p w14:paraId="0ED4E2AA" w14:textId="77777777" w:rsidR="009B086F" w:rsidRDefault="009B086F" w:rsidP="00BE4AC6"/>
        </w:tc>
        <w:tc>
          <w:tcPr>
            <w:tcW w:w="718" w:type="dxa"/>
            <w:vAlign w:val="center"/>
          </w:tcPr>
          <w:p w14:paraId="1808418B" w14:textId="77777777" w:rsidR="009B086F" w:rsidRPr="007D7907" w:rsidRDefault="009B086F" w:rsidP="007D7907">
            <w:pPr>
              <w:jc w:val="center"/>
              <w:rPr>
                <w:b/>
              </w:rPr>
            </w:pPr>
            <w:r>
              <w:rPr>
                <w:b/>
              </w:rPr>
              <w:t>HLVI</w:t>
            </w:r>
          </w:p>
        </w:tc>
        <w:tc>
          <w:tcPr>
            <w:tcW w:w="2017" w:type="dxa"/>
            <w:gridSpan w:val="2"/>
            <w:vAlign w:val="center"/>
          </w:tcPr>
          <w:p w14:paraId="0FC7244D" w14:textId="77777777" w:rsidR="009B086F" w:rsidRPr="007D7907" w:rsidRDefault="009B086F" w:rsidP="007D7907">
            <w:pPr>
              <w:jc w:val="center"/>
              <w:rPr>
                <w:rFonts w:ascii="Calibri" w:hAnsi="Calibri"/>
                <w:b/>
                <w:color w:val="000000"/>
              </w:rPr>
            </w:pPr>
            <w:r>
              <w:rPr>
                <w:rFonts w:ascii="Calibri" w:hAnsi="Calibri"/>
                <w:b/>
                <w:color w:val="000000"/>
              </w:rPr>
              <w:t>HLVI WOW</w:t>
            </w:r>
          </w:p>
        </w:tc>
        <w:tc>
          <w:tcPr>
            <w:tcW w:w="7189" w:type="dxa"/>
            <w:gridSpan w:val="2"/>
          </w:tcPr>
          <w:p w14:paraId="65C8574A" w14:textId="77777777" w:rsidR="009B086F" w:rsidRDefault="009B086F" w:rsidP="00BE4AC6">
            <w:r>
              <w:t>Extended orientation. Rotate through 3 areas for 6 weeks at a time. At completion of orientation take mini “travel assignments.” Will be assigned to specific area for monthly periods. If you find a home you like after four months you can transfer to it, otherwise the 18 month post orientation transfer rule still applies.</w:t>
            </w:r>
          </w:p>
        </w:tc>
      </w:tr>
      <w:tr w:rsidR="0024695E" w14:paraId="53A1F886" w14:textId="77777777" w:rsidTr="004B2B86">
        <w:trPr>
          <w:trHeight w:val="973"/>
        </w:trPr>
        <w:tc>
          <w:tcPr>
            <w:tcW w:w="1074" w:type="dxa"/>
          </w:tcPr>
          <w:p w14:paraId="417FAAA4" w14:textId="77777777" w:rsidR="0024695E" w:rsidRDefault="0024695E" w:rsidP="00BE4AC6"/>
        </w:tc>
        <w:tc>
          <w:tcPr>
            <w:tcW w:w="718" w:type="dxa"/>
            <w:vAlign w:val="center"/>
          </w:tcPr>
          <w:p w14:paraId="59C21AA9" w14:textId="77777777" w:rsidR="0024695E" w:rsidRPr="007D7907" w:rsidRDefault="00650BD9" w:rsidP="007D7907">
            <w:pPr>
              <w:jc w:val="center"/>
              <w:rPr>
                <w:b/>
              </w:rPr>
            </w:pPr>
            <w:r>
              <w:rPr>
                <w:b/>
              </w:rPr>
              <w:t>2</w:t>
            </w:r>
          </w:p>
        </w:tc>
        <w:tc>
          <w:tcPr>
            <w:tcW w:w="2017" w:type="dxa"/>
            <w:gridSpan w:val="2"/>
            <w:vAlign w:val="center"/>
          </w:tcPr>
          <w:p w14:paraId="0685B15F" w14:textId="77777777" w:rsidR="0024695E" w:rsidRPr="007D7907" w:rsidRDefault="00650BD9" w:rsidP="007D7907">
            <w:pPr>
              <w:jc w:val="center"/>
              <w:rPr>
                <w:rFonts w:ascii="Calibri" w:hAnsi="Calibri"/>
                <w:b/>
                <w:color w:val="000000"/>
              </w:rPr>
            </w:pPr>
            <w:r>
              <w:rPr>
                <w:rFonts w:ascii="Calibri" w:hAnsi="Calibri"/>
                <w:b/>
                <w:color w:val="000000"/>
              </w:rPr>
              <w:t>Phase 2 Recovery</w:t>
            </w:r>
          </w:p>
        </w:tc>
        <w:tc>
          <w:tcPr>
            <w:tcW w:w="7189" w:type="dxa"/>
            <w:gridSpan w:val="2"/>
          </w:tcPr>
          <w:p w14:paraId="51F2332C" w14:textId="77777777" w:rsidR="0024695E" w:rsidRPr="00650BD9" w:rsidRDefault="00650BD9" w:rsidP="00BE4AC6">
            <w:pPr>
              <w:rPr>
                <w:rFonts w:ascii="Tahoma" w:eastAsia="Times New Roman" w:hAnsi="Tahoma" w:cs="Tahoma"/>
                <w:color w:val="000000"/>
                <w:sz w:val="20"/>
                <w:szCs w:val="20"/>
              </w:rPr>
            </w:pPr>
            <w:r>
              <w:rPr>
                <w:rFonts w:ascii="Tahoma" w:eastAsia="Times New Roman" w:hAnsi="Tahoma" w:cs="Tahoma"/>
                <w:color w:val="000000"/>
                <w:sz w:val="20"/>
                <w:szCs w:val="20"/>
              </w:rPr>
              <w:t>Cares for outpatients from the post anesthesia care unit.  Nurses are responsible for discharging patients home.  The patients are given fluids, placed in a recliner, family is in the room for discharge instructions. Phase 2 is open 0730 to 2230 Mon-Fri</w:t>
            </w:r>
          </w:p>
        </w:tc>
      </w:tr>
      <w:tr w:rsidR="001139AB" w14:paraId="288A69EA" w14:textId="77777777" w:rsidTr="004B2B86">
        <w:trPr>
          <w:trHeight w:val="1029"/>
        </w:trPr>
        <w:tc>
          <w:tcPr>
            <w:tcW w:w="1074" w:type="dxa"/>
          </w:tcPr>
          <w:p w14:paraId="07C808D8" w14:textId="77777777" w:rsidR="001139AB" w:rsidRDefault="001139AB" w:rsidP="00BE4AC6"/>
        </w:tc>
        <w:tc>
          <w:tcPr>
            <w:tcW w:w="718" w:type="dxa"/>
            <w:vAlign w:val="center"/>
          </w:tcPr>
          <w:p w14:paraId="200809FB" w14:textId="77777777" w:rsidR="001139AB" w:rsidRPr="007D7907" w:rsidRDefault="001139AB" w:rsidP="007D7907">
            <w:pPr>
              <w:jc w:val="center"/>
              <w:rPr>
                <w:b/>
              </w:rPr>
            </w:pPr>
            <w:r w:rsidRPr="007D7907">
              <w:rPr>
                <w:b/>
              </w:rPr>
              <w:t>2H</w:t>
            </w:r>
          </w:p>
        </w:tc>
        <w:tc>
          <w:tcPr>
            <w:tcW w:w="2017" w:type="dxa"/>
            <w:gridSpan w:val="2"/>
            <w:vAlign w:val="center"/>
          </w:tcPr>
          <w:p w14:paraId="6F73AEE8" w14:textId="77777777" w:rsidR="001139AB" w:rsidRPr="007D7907" w:rsidRDefault="001139AB" w:rsidP="007D7907">
            <w:pPr>
              <w:jc w:val="center"/>
              <w:rPr>
                <w:rFonts w:ascii="Calibri" w:hAnsi="Calibri"/>
                <w:b/>
                <w:color w:val="000000"/>
              </w:rPr>
            </w:pPr>
            <w:r w:rsidRPr="007D7907">
              <w:rPr>
                <w:rFonts w:ascii="Calibri" w:hAnsi="Calibri"/>
                <w:b/>
                <w:color w:val="000000"/>
              </w:rPr>
              <w:t>CVICU</w:t>
            </w:r>
          </w:p>
          <w:p w14:paraId="4409FA7C" w14:textId="77777777" w:rsidR="001139AB" w:rsidRPr="007D7907" w:rsidRDefault="001139AB" w:rsidP="007D7907">
            <w:pPr>
              <w:jc w:val="center"/>
              <w:rPr>
                <w:b/>
              </w:rPr>
            </w:pPr>
          </w:p>
        </w:tc>
        <w:tc>
          <w:tcPr>
            <w:tcW w:w="7189" w:type="dxa"/>
            <w:gridSpan w:val="2"/>
          </w:tcPr>
          <w:p w14:paraId="4DDB38CB" w14:textId="77777777" w:rsidR="001139AB" w:rsidRPr="00922190" w:rsidRDefault="00922190" w:rsidP="004B2B86">
            <w:r w:rsidRPr="00922190">
              <w:t>CVICU is a 24 bed intensive care unit that provides care to a wide variety of patient populations. Our primary patient population includes cardiac, thoracic and vascular surgeries, cardiac arrest, and acute myocardial infarctions. We also care for other cardiac conditions requiring invasive monitoring and/or intravenous vasoactive infusions. Other patient populations may include respiratory failure, trauma, multiple system organ failure, or sepsis.</w:t>
            </w:r>
          </w:p>
          <w:p w14:paraId="6E1EA41A" w14:textId="77777777" w:rsidR="004B2B86" w:rsidRDefault="004B2B86" w:rsidP="004B2B86">
            <w:r w:rsidRPr="004B2B86">
              <w:t>Additional training in Simulation lab and completion of online orientation program require a two-year commitment to be eligible to work in MCC.</w:t>
            </w:r>
          </w:p>
        </w:tc>
      </w:tr>
      <w:tr w:rsidR="001139AB" w14:paraId="0E795093" w14:textId="77777777" w:rsidTr="004B2B86">
        <w:trPr>
          <w:trHeight w:val="973"/>
        </w:trPr>
        <w:tc>
          <w:tcPr>
            <w:tcW w:w="1074" w:type="dxa"/>
          </w:tcPr>
          <w:p w14:paraId="610E0235" w14:textId="77777777" w:rsidR="001139AB" w:rsidRDefault="001139AB" w:rsidP="00BE4AC6"/>
        </w:tc>
        <w:tc>
          <w:tcPr>
            <w:tcW w:w="718" w:type="dxa"/>
            <w:vAlign w:val="center"/>
          </w:tcPr>
          <w:p w14:paraId="7177A10A" w14:textId="77777777" w:rsidR="001139AB" w:rsidRPr="007D7907" w:rsidRDefault="001139AB" w:rsidP="007D7907">
            <w:pPr>
              <w:jc w:val="center"/>
              <w:rPr>
                <w:b/>
              </w:rPr>
            </w:pPr>
          </w:p>
        </w:tc>
        <w:tc>
          <w:tcPr>
            <w:tcW w:w="2017" w:type="dxa"/>
            <w:gridSpan w:val="2"/>
            <w:vAlign w:val="center"/>
          </w:tcPr>
          <w:p w14:paraId="1569EB28" w14:textId="77777777" w:rsidR="001139AB" w:rsidRPr="007D7907" w:rsidRDefault="001139AB" w:rsidP="007D7907">
            <w:pPr>
              <w:jc w:val="center"/>
              <w:rPr>
                <w:b/>
              </w:rPr>
            </w:pPr>
            <w:r w:rsidRPr="007D7907">
              <w:rPr>
                <w:b/>
              </w:rPr>
              <w:t>Emergency Room</w:t>
            </w:r>
          </w:p>
        </w:tc>
        <w:tc>
          <w:tcPr>
            <w:tcW w:w="7189" w:type="dxa"/>
            <w:gridSpan w:val="2"/>
          </w:tcPr>
          <w:p w14:paraId="1B6F0E03" w14:textId="77777777" w:rsidR="001139AB" w:rsidRDefault="000B3573" w:rsidP="001740F3">
            <w:r>
              <w:t xml:space="preserve">Multi-disciplinary patient and diverse disease population. Excellent opportunity for a new nurse to develop skills in a trauma 1 setting.  </w:t>
            </w:r>
          </w:p>
        </w:tc>
      </w:tr>
      <w:tr w:rsidR="001139AB" w14:paraId="78DEEB62" w14:textId="77777777" w:rsidTr="004B2B86">
        <w:trPr>
          <w:trHeight w:val="1029"/>
        </w:trPr>
        <w:tc>
          <w:tcPr>
            <w:tcW w:w="1074" w:type="dxa"/>
          </w:tcPr>
          <w:p w14:paraId="5F14D5D1" w14:textId="77777777" w:rsidR="001139AB" w:rsidRDefault="001139AB" w:rsidP="00BE4AC6"/>
        </w:tc>
        <w:tc>
          <w:tcPr>
            <w:tcW w:w="718" w:type="dxa"/>
            <w:vAlign w:val="center"/>
          </w:tcPr>
          <w:p w14:paraId="3D5B9887" w14:textId="77777777" w:rsidR="001139AB" w:rsidRPr="007D7907" w:rsidRDefault="001139AB" w:rsidP="007D7907">
            <w:pPr>
              <w:jc w:val="center"/>
              <w:rPr>
                <w:b/>
              </w:rPr>
            </w:pPr>
          </w:p>
        </w:tc>
        <w:tc>
          <w:tcPr>
            <w:tcW w:w="2017" w:type="dxa"/>
            <w:gridSpan w:val="2"/>
            <w:vAlign w:val="center"/>
          </w:tcPr>
          <w:p w14:paraId="7DF75891" w14:textId="77777777" w:rsidR="001139AB" w:rsidRPr="007D7907" w:rsidRDefault="001139AB" w:rsidP="007D7907">
            <w:pPr>
              <w:jc w:val="center"/>
              <w:rPr>
                <w:b/>
              </w:rPr>
            </w:pPr>
            <w:r w:rsidRPr="007D7907">
              <w:rPr>
                <w:b/>
              </w:rPr>
              <w:t>OR</w:t>
            </w:r>
          </w:p>
        </w:tc>
        <w:tc>
          <w:tcPr>
            <w:tcW w:w="7189" w:type="dxa"/>
            <w:gridSpan w:val="2"/>
          </w:tcPr>
          <w:p w14:paraId="150DB79A" w14:textId="77777777" w:rsidR="002A6938" w:rsidRPr="002A6938" w:rsidRDefault="009B086F" w:rsidP="002A6938">
            <w:pPr>
              <w:rPr>
                <w:rFonts w:ascii="Georgia" w:eastAsia="Times New Roman" w:hAnsi="Georgia" w:cs="Times New Roman"/>
                <w:sz w:val="24"/>
                <w:szCs w:val="24"/>
                <w:highlight w:val="yellow"/>
              </w:rPr>
            </w:pPr>
            <w:r>
              <w:t>Largest OR in Knoxv</w:t>
            </w:r>
            <w:r w:rsidR="002A6938">
              <w:t>ille. Technologically advanced.</w:t>
            </w:r>
            <w:r>
              <w:t xml:space="preserve"> Multiple specialties with opportunity to circulate in a variety of surgeries.</w:t>
            </w:r>
            <w:r w:rsidR="002A6938">
              <w:t xml:space="preserve"> </w:t>
            </w:r>
            <w:r w:rsidR="002A6938" w:rsidRPr="002A6938">
              <w:rPr>
                <w:rFonts w:eastAsia="Times New Roman" w:cs="Times New Roman"/>
              </w:rPr>
              <w:t>The Operating Room offers a 7 month residency and clinical rotation. This program begins with a general hospital orientation and requires a two-year commitment following program completion.</w:t>
            </w:r>
          </w:p>
          <w:p w14:paraId="4A494B6A" w14:textId="77777777" w:rsidR="001139AB" w:rsidRDefault="001139AB" w:rsidP="002A6938"/>
        </w:tc>
      </w:tr>
      <w:tr w:rsidR="001139AB" w14:paraId="3A14A79B" w14:textId="77777777" w:rsidTr="004B2B86">
        <w:trPr>
          <w:trHeight w:val="973"/>
        </w:trPr>
        <w:tc>
          <w:tcPr>
            <w:tcW w:w="1074" w:type="dxa"/>
            <w:vAlign w:val="center"/>
          </w:tcPr>
          <w:p w14:paraId="1AF9128E" w14:textId="77777777" w:rsidR="001139AB" w:rsidRDefault="001139AB" w:rsidP="00BE4AC6"/>
        </w:tc>
        <w:tc>
          <w:tcPr>
            <w:tcW w:w="718" w:type="dxa"/>
            <w:vAlign w:val="center"/>
          </w:tcPr>
          <w:p w14:paraId="6049801D" w14:textId="77777777" w:rsidR="001139AB" w:rsidRPr="007D7907" w:rsidRDefault="001139AB" w:rsidP="007D7907">
            <w:pPr>
              <w:jc w:val="center"/>
              <w:rPr>
                <w:b/>
              </w:rPr>
            </w:pPr>
            <w:bookmarkStart w:id="0" w:name="_GoBack"/>
            <w:bookmarkEnd w:id="0"/>
          </w:p>
        </w:tc>
        <w:tc>
          <w:tcPr>
            <w:tcW w:w="2017" w:type="dxa"/>
            <w:gridSpan w:val="2"/>
            <w:vAlign w:val="center"/>
          </w:tcPr>
          <w:p w14:paraId="7EC4D104" w14:textId="77777777" w:rsidR="001139AB" w:rsidRPr="007D7907" w:rsidRDefault="001139AB" w:rsidP="007D7907">
            <w:pPr>
              <w:jc w:val="center"/>
              <w:rPr>
                <w:b/>
              </w:rPr>
            </w:pPr>
            <w:r w:rsidRPr="007D7907">
              <w:rPr>
                <w:b/>
              </w:rPr>
              <w:t>M</w:t>
            </w:r>
            <w:r w:rsidR="004B2B86">
              <w:rPr>
                <w:b/>
              </w:rPr>
              <w:t xml:space="preserve">edical </w:t>
            </w:r>
            <w:r w:rsidRPr="007D7907">
              <w:rPr>
                <w:b/>
              </w:rPr>
              <w:t>C</w:t>
            </w:r>
            <w:r w:rsidR="004B2B86">
              <w:rPr>
                <w:b/>
              </w:rPr>
              <w:t xml:space="preserve">ritical </w:t>
            </w:r>
            <w:r w:rsidRPr="007D7907">
              <w:rPr>
                <w:b/>
              </w:rPr>
              <w:t>C</w:t>
            </w:r>
            <w:r w:rsidR="004B2B86">
              <w:rPr>
                <w:b/>
              </w:rPr>
              <w:t>are</w:t>
            </w:r>
          </w:p>
        </w:tc>
        <w:tc>
          <w:tcPr>
            <w:tcW w:w="7189" w:type="dxa"/>
            <w:gridSpan w:val="2"/>
          </w:tcPr>
          <w:p w14:paraId="5F9389A7" w14:textId="77777777" w:rsidR="001139AB" w:rsidRDefault="00686863" w:rsidP="00BE4AC6">
            <w:r w:rsidRPr="004B2B86">
              <w:t xml:space="preserve">MCC cares for patients with complex issues ranging from septic shock, respiratory failure, GI bleed, to multisystem organ failure caused by a variety of medical insults. In 2013, MCC was awarded the Beacon Award for excellence…one of only two units in Tennessee receiving this honor! Additional training in Simulation lab and completion of online orientation program require a two-year commitment to be eligible to work in MCC. </w:t>
            </w:r>
          </w:p>
        </w:tc>
      </w:tr>
      <w:tr w:rsidR="001139AB" w14:paraId="378FF7D0" w14:textId="77777777" w:rsidTr="004B2B86">
        <w:trPr>
          <w:trHeight w:val="1029"/>
        </w:trPr>
        <w:tc>
          <w:tcPr>
            <w:tcW w:w="1074" w:type="dxa"/>
            <w:vAlign w:val="center"/>
          </w:tcPr>
          <w:p w14:paraId="456EBA47" w14:textId="77777777" w:rsidR="001139AB" w:rsidRDefault="001139AB" w:rsidP="00BE4AC6"/>
        </w:tc>
        <w:tc>
          <w:tcPr>
            <w:tcW w:w="718" w:type="dxa"/>
          </w:tcPr>
          <w:p w14:paraId="43ED0EE2" w14:textId="77777777" w:rsidR="001139AB" w:rsidRPr="007D7907" w:rsidRDefault="001139AB" w:rsidP="007D7907">
            <w:pPr>
              <w:jc w:val="center"/>
              <w:rPr>
                <w:b/>
              </w:rPr>
            </w:pPr>
          </w:p>
        </w:tc>
        <w:tc>
          <w:tcPr>
            <w:tcW w:w="2017" w:type="dxa"/>
            <w:gridSpan w:val="2"/>
            <w:vAlign w:val="center"/>
          </w:tcPr>
          <w:p w14:paraId="7860CCD0" w14:textId="77777777" w:rsidR="001139AB" w:rsidRPr="007D7907" w:rsidRDefault="001139AB" w:rsidP="00C46099">
            <w:pPr>
              <w:jc w:val="center"/>
              <w:rPr>
                <w:b/>
              </w:rPr>
            </w:pPr>
            <w:r>
              <w:rPr>
                <w:b/>
              </w:rPr>
              <w:t>T</w:t>
            </w:r>
            <w:r w:rsidR="00C46099">
              <w:rPr>
                <w:b/>
              </w:rPr>
              <w:t xml:space="preserve">rauma &amp; Surgical </w:t>
            </w:r>
            <w:r>
              <w:rPr>
                <w:b/>
              </w:rPr>
              <w:t>ICU</w:t>
            </w:r>
          </w:p>
        </w:tc>
        <w:tc>
          <w:tcPr>
            <w:tcW w:w="7189" w:type="dxa"/>
            <w:gridSpan w:val="2"/>
          </w:tcPr>
          <w:p w14:paraId="349E4A2A" w14:textId="77777777" w:rsidR="004B2B86" w:rsidRPr="0024695E" w:rsidRDefault="0024695E" w:rsidP="009B6C9B">
            <w:r w:rsidRPr="0024695E">
              <w:rPr>
                <w:iCs/>
                <w:color w:val="000000"/>
              </w:rPr>
              <w:t>As the only Level 1 Trauma Center in the region we provide the highest level of trauma care in addition to caring for the complex surgical patient.  Our Center of Excellence serves as the tertiary referral center for the region.  We work together as a great team.  We are busy, committed and growing</w:t>
            </w:r>
            <w:r w:rsidRPr="0024695E">
              <w:t xml:space="preserve">. </w:t>
            </w:r>
            <w:r w:rsidR="004B2B86" w:rsidRPr="0024695E">
              <w:t xml:space="preserve">Additional training in Simulation lab and completion of online orientation program require a two-year commitment to be eligible to work in </w:t>
            </w:r>
            <w:r w:rsidR="009B6C9B">
              <w:t>TSICU</w:t>
            </w:r>
            <w:r w:rsidR="004B2B86" w:rsidRPr="0024695E">
              <w:t>.</w:t>
            </w:r>
          </w:p>
        </w:tc>
      </w:tr>
      <w:tr w:rsidR="001139AB" w14:paraId="0D69923D" w14:textId="77777777" w:rsidTr="004B2B86">
        <w:trPr>
          <w:trHeight w:val="1029"/>
        </w:trPr>
        <w:tc>
          <w:tcPr>
            <w:tcW w:w="1074" w:type="dxa"/>
            <w:vAlign w:val="center"/>
          </w:tcPr>
          <w:p w14:paraId="2922B623" w14:textId="77777777" w:rsidR="001139AB" w:rsidRDefault="001139AB" w:rsidP="00BE4AC6"/>
        </w:tc>
        <w:tc>
          <w:tcPr>
            <w:tcW w:w="718" w:type="dxa"/>
            <w:vAlign w:val="center"/>
          </w:tcPr>
          <w:p w14:paraId="33B232CF" w14:textId="77777777" w:rsidR="001139AB" w:rsidRPr="007D7907" w:rsidRDefault="001139AB" w:rsidP="007D7907">
            <w:pPr>
              <w:jc w:val="center"/>
              <w:rPr>
                <w:b/>
              </w:rPr>
            </w:pPr>
          </w:p>
        </w:tc>
        <w:tc>
          <w:tcPr>
            <w:tcW w:w="2017" w:type="dxa"/>
            <w:gridSpan w:val="2"/>
            <w:vAlign w:val="center"/>
          </w:tcPr>
          <w:p w14:paraId="5653FDB9" w14:textId="77777777" w:rsidR="001139AB" w:rsidRPr="007D7907" w:rsidRDefault="001139AB" w:rsidP="007D7907">
            <w:pPr>
              <w:jc w:val="center"/>
              <w:rPr>
                <w:b/>
              </w:rPr>
            </w:pPr>
            <w:r>
              <w:rPr>
                <w:b/>
              </w:rPr>
              <w:t>N</w:t>
            </w:r>
            <w:r w:rsidR="004B2B86">
              <w:rPr>
                <w:b/>
              </w:rPr>
              <w:t xml:space="preserve">euro </w:t>
            </w:r>
            <w:r>
              <w:rPr>
                <w:b/>
              </w:rPr>
              <w:t>C</w:t>
            </w:r>
            <w:r w:rsidR="004B2B86">
              <w:rPr>
                <w:b/>
              </w:rPr>
              <w:t xml:space="preserve">ritical </w:t>
            </w:r>
            <w:r>
              <w:rPr>
                <w:b/>
              </w:rPr>
              <w:t>C</w:t>
            </w:r>
            <w:r w:rsidR="004B2B86">
              <w:rPr>
                <w:b/>
              </w:rPr>
              <w:t>are</w:t>
            </w:r>
          </w:p>
        </w:tc>
        <w:tc>
          <w:tcPr>
            <w:tcW w:w="7189" w:type="dxa"/>
            <w:gridSpan w:val="2"/>
          </w:tcPr>
          <w:p w14:paraId="6F3989D5" w14:textId="77777777" w:rsidR="001139AB" w:rsidRDefault="009B6C9B" w:rsidP="00BE4AC6">
            <w:r>
              <w:t xml:space="preserve">The University of Tennessee Medical Center is the region's only Comprehensive Stroke Center.  The Neuro Critical Care Unit at UTMC specializes in providing critical care needs to patients afflicted with complex neurological insults including ischemic stroke, hemorrhagic stroke and traumatic brain injuries.  We also specialize in advanced monitoring of those patients undergoing complex neurosurgical and neuro interventional radiological procedures.  </w:t>
            </w:r>
            <w:r w:rsidR="004B2B86" w:rsidRPr="004B2B86">
              <w:t>Additional training in Simulation lab and completion of online orientation program require a two-year commitme</w:t>
            </w:r>
            <w:r>
              <w:t>nt to be eligible to work in Neuro Critical Care</w:t>
            </w:r>
            <w:r w:rsidR="004B2B86" w:rsidRPr="004B2B86">
              <w:t>.</w:t>
            </w:r>
          </w:p>
        </w:tc>
      </w:tr>
      <w:tr w:rsidR="001139AB" w14:paraId="56D3082C" w14:textId="77777777" w:rsidTr="00D37564">
        <w:trPr>
          <w:trHeight w:val="973"/>
        </w:trPr>
        <w:tc>
          <w:tcPr>
            <w:tcW w:w="3049" w:type="dxa"/>
            <w:gridSpan w:val="3"/>
            <w:vAlign w:val="center"/>
          </w:tcPr>
          <w:p w14:paraId="261BEA54" w14:textId="77777777" w:rsidR="001139AB" w:rsidRDefault="001139AB" w:rsidP="00A80D2B">
            <w:r w:rsidRPr="00874BD6">
              <w:rPr>
                <w:b/>
              </w:rPr>
              <w:t>How were you referred?</w:t>
            </w:r>
          </w:p>
        </w:tc>
        <w:tc>
          <w:tcPr>
            <w:tcW w:w="7949" w:type="dxa"/>
            <w:gridSpan w:val="3"/>
          </w:tcPr>
          <w:p w14:paraId="17F96CE3" w14:textId="77777777" w:rsidR="001139AB" w:rsidRDefault="001139AB" w:rsidP="00BE4AC6"/>
        </w:tc>
      </w:tr>
    </w:tbl>
    <w:p w14:paraId="78ED534D" w14:textId="77777777" w:rsidR="00193326" w:rsidRDefault="00193326"/>
    <w:sectPr w:rsidR="00193326" w:rsidSect="001139AB">
      <w:head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1A7BA" w14:textId="77777777" w:rsidR="008B6420" w:rsidRDefault="008B6420" w:rsidP="00D61411">
      <w:pPr>
        <w:spacing w:after="0" w:line="240" w:lineRule="auto"/>
      </w:pPr>
      <w:r>
        <w:separator/>
      </w:r>
    </w:p>
  </w:endnote>
  <w:endnote w:type="continuationSeparator" w:id="0">
    <w:p w14:paraId="2B8AABF6" w14:textId="77777777" w:rsidR="008B6420" w:rsidRDefault="008B6420" w:rsidP="00D61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DE21" w14:textId="77777777" w:rsidR="008B6420" w:rsidRDefault="008B6420" w:rsidP="00D61411">
      <w:pPr>
        <w:spacing w:after="0" w:line="240" w:lineRule="auto"/>
      </w:pPr>
      <w:r>
        <w:separator/>
      </w:r>
    </w:p>
  </w:footnote>
  <w:footnote w:type="continuationSeparator" w:id="0">
    <w:p w14:paraId="72BBC1BF" w14:textId="77777777" w:rsidR="008B6420" w:rsidRDefault="008B6420" w:rsidP="00D61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C0BCB" w14:textId="77777777" w:rsidR="00D61411" w:rsidRDefault="00D61411">
    <w:pPr>
      <w:pStyle w:val="Header"/>
    </w:pPr>
    <w:r>
      <w:tab/>
    </w:r>
    <w:r>
      <w:tab/>
    </w:r>
  </w:p>
  <w:p w14:paraId="0EDD1EAD" w14:textId="77777777" w:rsidR="00D61411" w:rsidRDefault="00D614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a2MDMytbAwMjA3MTdR0lEKTi0uzszPAykwrAUAwmuRfywAAAA="/>
  </w:docVars>
  <w:rsids>
    <w:rsidRoot w:val="00C4702C"/>
    <w:rsid w:val="000145F7"/>
    <w:rsid w:val="000B3573"/>
    <w:rsid w:val="000C4603"/>
    <w:rsid w:val="00100AB2"/>
    <w:rsid w:val="001139AB"/>
    <w:rsid w:val="001478CC"/>
    <w:rsid w:val="00163FF5"/>
    <w:rsid w:val="001740F3"/>
    <w:rsid w:val="00193326"/>
    <w:rsid w:val="0024695E"/>
    <w:rsid w:val="00262D8F"/>
    <w:rsid w:val="00264267"/>
    <w:rsid w:val="002A6938"/>
    <w:rsid w:val="002D3AFF"/>
    <w:rsid w:val="002D7C7B"/>
    <w:rsid w:val="00303DD3"/>
    <w:rsid w:val="00362543"/>
    <w:rsid w:val="003C613A"/>
    <w:rsid w:val="00435E9B"/>
    <w:rsid w:val="00463387"/>
    <w:rsid w:val="004B2B86"/>
    <w:rsid w:val="004E4A55"/>
    <w:rsid w:val="005562FB"/>
    <w:rsid w:val="00650BD9"/>
    <w:rsid w:val="00675AC4"/>
    <w:rsid w:val="00686863"/>
    <w:rsid w:val="007D7907"/>
    <w:rsid w:val="00816FB3"/>
    <w:rsid w:val="00864A93"/>
    <w:rsid w:val="00874BD6"/>
    <w:rsid w:val="008B6420"/>
    <w:rsid w:val="008D5642"/>
    <w:rsid w:val="00922190"/>
    <w:rsid w:val="009B086F"/>
    <w:rsid w:val="009B6C9B"/>
    <w:rsid w:val="00A77CF4"/>
    <w:rsid w:val="00BC0EC3"/>
    <w:rsid w:val="00C46099"/>
    <w:rsid w:val="00C4702C"/>
    <w:rsid w:val="00C57257"/>
    <w:rsid w:val="00CA607D"/>
    <w:rsid w:val="00D26BEF"/>
    <w:rsid w:val="00D61411"/>
    <w:rsid w:val="00F40BA3"/>
    <w:rsid w:val="00F72EF3"/>
    <w:rsid w:val="00F9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64000E"/>
  <w15:docId w15:val="{302DB309-180C-4DEA-BB1B-968B2543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4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411"/>
  </w:style>
  <w:style w:type="paragraph" w:styleId="Footer">
    <w:name w:val="footer"/>
    <w:basedOn w:val="Normal"/>
    <w:link w:val="FooterChar"/>
    <w:uiPriority w:val="99"/>
    <w:unhideWhenUsed/>
    <w:rsid w:val="00D614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411"/>
  </w:style>
  <w:style w:type="paragraph" w:styleId="BalloonText">
    <w:name w:val="Balloon Text"/>
    <w:basedOn w:val="Normal"/>
    <w:link w:val="BalloonTextChar"/>
    <w:uiPriority w:val="99"/>
    <w:semiHidden/>
    <w:unhideWhenUsed/>
    <w:rsid w:val="00D6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320">
      <w:bodyDiv w:val="1"/>
      <w:marLeft w:val="0"/>
      <w:marRight w:val="0"/>
      <w:marTop w:val="0"/>
      <w:marBottom w:val="0"/>
      <w:divBdr>
        <w:top w:val="none" w:sz="0" w:space="0" w:color="auto"/>
        <w:left w:val="none" w:sz="0" w:space="0" w:color="auto"/>
        <w:bottom w:val="none" w:sz="0" w:space="0" w:color="auto"/>
        <w:right w:val="none" w:sz="0" w:space="0" w:color="auto"/>
      </w:divBdr>
    </w:div>
    <w:div w:id="122433123">
      <w:bodyDiv w:val="1"/>
      <w:marLeft w:val="0"/>
      <w:marRight w:val="0"/>
      <w:marTop w:val="0"/>
      <w:marBottom w:val="0"/>
      <w:divBdr>
        <w:top w:val="none" w:sz="0" w:space="0" w:color="auto"/>
        <w:left w:val="none" w:sz="0" w:space="0" w:color="auto"/>
        <w:bottom w:val="none" w:sz="0" w:space="0" w:color="auto"/>
        <w:right w:val="none" w:sz="0" w:space="0" w:color="auto"/>
      </w:divBdr>
    </w:div>
    <w:div w:id="361904345">
      <w:bodyDiv w:val="1"/>
      <w:marLeft w:val="0"/>
      <w:marRight w:val="0"/>
      <w:marTop w:val="0"/>
      <w:marBottom w:val="0"/>
      <w:divBdr>
        <w:top w:val="none" w:sz="0" w:space="0" w:color="auto"/>
        <w:left w:val="none" w:sz="0" w:space="0" w:color="auto"/>
        <w:bottom w:val="none" w:sz="0" w:space="0" w:color="auto"/>
        <w:right w:val="none" w:sz="0" w:space="0" w:color="auto"/>
      </w:divBdr>
    </w:div>
    <w:div w:id="374277947">
      <w:bodyDiv w:val="1"/>
      <w:marLeft w:val="0"/>
      <w:marRight w:val="0"/>
      <w:marTop w:val="0"/>
      <w:marBottom w:val="0"/>
      <w:divBdr>
        <w:top w:val="none" w:sz="0" w:space="0" w:color="auto"/>
        <w:left w:val="none" w:sz="0" w:space="0" w:color="auto"/>
        <w:bottom w:val="none" w:sz="0" w:space="0" w:color="auto"/>
        <w:right w:val="none" w:sz="0" w:space="0" w:color="auto"/>
      </w:divBdr>
    </w:div>
    <w:div w:id="446855747">
      <w:bodyDiv w:val="1"/>
      <w:marLeft w:val="0"/>
      <w:marRight w:val="0"/>
      <w:marTop w:val="0"/>
      <w:marBottom w:val="0"/>
      <w:divBdr>
        <w:top w:val="none" w:sz="0" w:space="0" w:color="auto"/>
        <w:left w:val="none" w:sz="0" w:space="0" w:color="auto"/>
        <w:bottom w:val="none" w:sz="0" w:space="0" w:color="auto"/>
        <w:right w:val="none" w:sz="0" w:space="0" w:color="auto"/>
      </w:divBdr>
    </w:div>
    <w:div w:id="611672400">
      <w:bodyDiv w:val="1"/>
      <w:marLeft w:val="0"/>
      <w:marRight w:val="0"/>
      <w:marTop w:val="0"/>
      <w:marBottom w:val="0"/>
      <w:divBdr>
        <w:top w:val="none" w:sz="0" w:space="0" w:color="auto"/>
        <w:left w:val="none" w:sz="0" w:space="0" w:color="auto"/>
        <w:bottom w:val="none" w:sz="0" w:space="0" w:color="auto"/>
        <w:right w:val="none" w:sz="0" w:space="0" w:color="auto"/>
      </w:divBdr>
    </w:div>
    <w:div w:id="614598328">
      <w:bodyDiv w:val="1"/>
      <w:marLeft w:val="0"/>
      <w:marRight w:val="0"/>
      <w:marTop w:val="0"/>
      <w:marBottom w:val="0"/>
      <w:divBdr>
        <w:top w:val="none" w:sz="0" w:space="0" w:color="auto"/>
        <w:left w:val="none" w:sz="0" w:space="0" w:color="auto"/>
        <w:bottom w:val="none" w:sz="0" w:space="0" w:color="auto"/>
        <w:right w:val="none" w:sz="0" w:space="0" w:color="auto"/>
      </w:divBdr>
    </w:div>
    <w:div w:id="614948758">
      <w:bodyDiv w:val="1"/>
      <w:marLeft w:val="0"/>
      <w:marRight w:val="0"/>
      <w:marTop w:val="0"/>
      <w:marBottom w:val="0"/>
      <w:divBdr>
        <w:top w:val="none" w:sz="0" w:space="0" w:color="auto"/>
        <w:left w:val="none" w:sz="0" w:space="0" w:color="auto"/>
        <w:bottom w:val="none" w:sz="0" w:space="0" w:color="auto"/>
        <w:right w:val="none" w:sz="0" w:space="0" w:color="auto"/>
      </w:divBdr>
    </w:div>
    <w:div w:id="651065111">
      <w:bodyDiv w:val="1"/>
      <w:marLeft w:val="0"/>
      <w:marRight w:val="0"/>
      <w:marTop w:val="0"/>
      <w:marBottom w:val="0"/>
      <w:divBdr>
        <w:top w:val="none" w:sz="0" w:space="0" w:color="auto"/>
        <w:left w:val="none" w:sz="0" w:space="0" w:color="auto"/>
        <w:bottom w:val="none" w:sz="0" w:space="0" w:color="auto"/>
        <w:right w:val="none" w:sz="0" w:space="0" w:color="auto"/>
      </w:divBdr>
    </w:div>
    <w:div w:id="732120099">
      <w:bodyDiv w:val="1"/>
      <w:marLeft w:val="0"/>
      <w:marRight w:val="0"/>
      <w:marTop w:val="0"/>
      <w:marBottom w:val="0"/>
      <w:divBdr>
        <w:top w:val="none" w:sz="0" w:space="0" w:color="auto"/>
        <w:left w:val="none" w:sz="0" w:space="0" w:color="auto"/>
        <w:bottom w:val="none" w:sz="0" w:space="0" w:color="auto"/>
        <w:right w:val="none" w:sz="0" w:space="0" w:color="auto"/>
      </w:divBdr>
    </w:div>
    <w:div w:id="808089859">
      <w:bodyDiv w:val="1"/>
      <w:marLeft w:val="0"/>
      <w:marRight w:val="0"/>
      <w:marTop w:val="0"/>
      <w:marBottom w:val="0"/>
      <w:divBdr>
        <w:top w:val="none" w:sz="0" w:space="0" w:color="auto"/>
        <w:left w:val="none" w:sz="0" w:space="0" w:color="auto"/>
        <w:bottom w:val="none" w:sz="0" w:space="0" w:color="auto"/>
        <w:right w:val="none" w:sz="0" w:space="0" w:color="auto"/>
      </w:divBdr>
    </w:div>
    <w:div w:id="809707747">
      <w:bodyDiv w:val="1"/>
      <w:marLeft w:val="0"/>
      <w:marRight w:val="0"/>
      <w:marTop w:val="0"/>
      <w:marBottom w:val="0"/>
      <w:divBdr>
        <w:top w:val="none" w:sz="0" w:space="0" w:color="auto"/>
        <w:left w:val="none" w:sz="0" w:space="0" w:color="auto"/>
        <w:bottom w:val="none" w:sz="0" w:space="0" w:color="auto"/>
        <w:right w:val="none" w:sz="0" w:space="0" w:color="auto"/>
      </w:divBdr>
    </w:div>
    <w:div w:id="811560528">
      <w:bodyDiv w:val="1"/>
      <w:marLeft w:val="0"/>
      <w:marRight w:val="0"/>
      <w:marTop w:val="0"/>
      <w:marBottom w:val="0"/>
      <w:divBdr>
        <w:top w:val="none" w:sz="0" w:space="0" w:color="auto"/>
        <w:left w:val="none" w:sz="0" w:space="0" w:color="auto"/>
        <w:bottom w:val="none" w:sz="0" w:space="0" w:color="auto"/>
        <w:right w:val="none" w:sz="0" w:space="0" w:color="auto"/>
      </w:divBdr>
    </w:div>
    <w:div w:id="821777012">
      <w:bodyDiv w:val="1"/>
      <w:marLeft w:val="0"/>
      <w:marRight w:val="0"/>
      <w:marTop w:val="0"/>
      <w:marBottom w:val="0"/>
      <w:divBdr>
        <w:top w:val="none" w:sz="0" w:space="0" w:color="auto"/>
        <w:left w:val="none" w:sz="0" w:space="0" w:color="auto"/>
        <w:bottom w:val="none" w:sz="0" w:space="0" w:color="auto"/>
        <w:right w:val="none" w:sz="0" w:space="0" w:color="auto"/>
      </w:divBdr>
    </w:div>
    <w:div w:id="832645741">
      <w:bodyDiv w:val="1"/>
      <w:marLeft w:val="0"/>
      <w:marRight w:val="0"/>
      <w:marTop w:val="0"/>
      <w:marBottom w:val="0"/>
      <w:divBdr>
        <w:top w:val="none" w:sz="0" w:space="0" w:color="auto"/>
        <w:left w:val="none" w:sz="0" w:space="0" w:color="auto"/>
        <w:bottom w:val="none" w:sz="0" w:space="0" w:color="auto"/>
        <w:right w:val="none" w:sz="0" w:space="0" w:color="auto"/>
      </w:divBdr>
    </w:div>
    <w:div w:id="869878624">
      <w:bodyDiv w:val="1"/>
      <w:marLeft w:val="0"/>
      <w:marRight w:val="0"/>
      <w:marTop w:val="0"/>
      <w:marBottom w:val="0"/>
      <w:divBdr>
        <w:top w:val="none" w:sz="0" w:space="0" w:color="auto"/>
        <w:left w:val="none" w:sz="0" w:space="0" w:color="auto"/>
        <w:bottom w:val="none" w:sz="0" w:space="0" w:color="auto"/>
        <w:right w:val="none" w:sz="0" w:space="0" w:color="auto"/>
      </w:divBdr>
    </w:div>
    <w:div w:id="901213998">
      <w:bodyDiv w:val="1"/>
      <w:marLeft w:val="0"/>
      <w:marRight w:val="0"/>
      <w:marTop w:val="0"/>
      <w:marBottom w:val="0"/>
      <w:divBdr>
        <w:top w:val="none" w:sz="0" w:space="0" w:color="auto"/>
        <w:left w:val="none" w:sz="0" w:space="0" w:color="auto"/>
        <w:bottom w:val="none" w:sz="0" w:space="0" w:color="auto"/>
        <w:right w:val="none" w:sz="0" w:space="0" w:color="auto"/>
      </w:divBdr>
    </w:div>
    <w:div w:id="906502458">
      <w:bodyDiv w:val="1"/>
      <w:marLeft w:val="0"/>
      <w:marRight w:val="0"/>
      <w:marTop w:val="0"/>
      <w:marBottom w:val="0"/>
      <w:divBdr>
        <w:top w:val="none" w:sz="0" w:space="0" w:color="auto"/>
        <w:left w:val="none" w:sz="0" w:space="0" w:color="auto"/>
        <w:bottom w:val="none" w:sz="0" w:space="0" w:color="auto"/>
        <w:right w:val="none" w:sz="0" w:space="0" w:color="auto"/>
      </w:divBdr>
    </w:div>
    <w:div w:id="928540901">
      <w:bodyDiv w:val="1"/>
      <w:marLeft w:val="0"/>
      <w:marRight w:val="0"/>
      <w:marTop w:val="0"/>
      <w:marBottom w:val="0"/>
      <w:divBdr>
        <w:top w:val="none" w:sz="0" w:space="0" w:color="auto"/>
        <w:left w:val="none" w:sz="0" w:space="0" w:color="auto"/>
        <w:bottom w:val="none" w:sz="0" w:space="0" w:color="auto"/>
        <w:right w:val="none" w:sz="0" w:space="0" w:color="auto"/>
      </w:divBdr>
    </w:div>
    <w:div w:id="970867156">
      <w:bodyDiv w:val="1"/>
      <w:marLeft w:val="0"/>
      <w:marRight w:val="0"/>
      <w:marTop w:val="0"/>
      <w:marBottom w:val="0"/>
      <w:divBdr>
        <w:top w:val="none" w:sz="0" w:space="0" w:color="auto"/>
        <w:left w:val="none" w:sz="0" w:space="0" w:color="auto"/>
        <w:bottom w:val="none" w:sz="0" w:space="0" w:color="auto"/>
        <w:right w:val="none" w:sz="0" w:space="0" w:color="auto"/>
      </w:divBdr>
    </w:div>
    <w:div w:id="1099332068">
      <w:bodyDiv w:val="1"/>
      <w:marLeft w:val="0"/>
      <w:marRight w:val="0"/>
      <w:marTop w:val="0"/>
      <w:marBottom w:val="0"/>
      <w:divBdr>
        <w:top w:val="none" w:sz="0" w:space="0" w:color="auto"/>
        <w:left w:val="none" w:sz="0" w:space="0" w:color="auto"/>
        <w:bottom w:val="none" w:sz="0" w:space="0" w:color="auto"/>
        <w:right w:val="none" w:sz="0" w:space="0" w:color="auto"/>
      </w:divBdr>
    </w:div>
    <w:div w:id="1104888162">
      <w:bodyDiv w:val="1"/>
      <w:marLeft w:val="0"/>
      <w:marRight w:val="0"/>
      <w:marTop w:val="0"/>
      <w:marBottom w:val="0"/>
      <w:divBdr>
        <w:top w:val="none" w:sz="0" w:space="0" w:color="auto"/>
        <w:left w:val="none" w:sz="0" w:space="0" w:color="auto"/>
        <w:bottom w:val="none" w:sz="0" w:space="0" w:color="auto"/>
        <w:right w:val="none" w:sz="0" w:space="0" w:color="auto"/>
      </w:divBdr>
    </w:div>
    <w:div w:id="1116095534">
      <w:bodyDiv w:val="1"/>
      <w:marLeft w:val="0"/>
      <w:marRight w:val="0"/>
      <w:marTop w:val="0"/>
      <w:marBottom w:val="0"/>
      <w:divBdr>
        <w:top w:val="none" w:sz="0" w:space="0" w:color="auto"/>
        <w:left w:val="none" w:sz="0" w:space="0" w:color="auto"/>
        <w:bottom w:val="none" w:sz="0" w:space="0" w:color="auto"/>
        <w:right w:val="none" w:sz="0" w:space="0" w:color="auto"/>
      </w:divBdr>
    </w:div>
    <w:div w:id="1147166051">
      <w:bodyDiv w:val="1"/>
      <w:marLeft w:val="0"/>
      <w:marRight w:val="0"/>
      <w:marTop w:val="0"/>
      <w:marBottom w:val="0"/>
      <w:divBdr>
        <w:top w:val="none" w:sz="0" w:space="0" w:color="auto"/>
        <w:left w:val="none" w:sz="0" w:space="0" w:color="auto"/>
        <w:bottom w:val="none" w:sz="0" w:space="0" w:color="auto"/>
        <w:right w:val="none" w:sz="0" w:space="0" w:color="auto"/>
      </w:divBdr>
    </w:div>
    <w:div w:id="1155413593">
      <w:bodyDiv w:val="1"/>
      <w:marLeft w:val="0"/>
      <w:marRight w:val="0"/>
      <w:marTop w:val="0"/>
      <w:marBottom w:val="0"/>
      <w:divBdr>
        <w:top w:val="none" w:sz="0" w:space="0" w:color="auto"/>
        <w:left w:val="none" w:sz="0" w:space="0" w:color="auto"/>
        <w:bottom w:val="none" w:sz="0" w:space="0" w:color="auto"/>
        <w:right w:val="none" w:sz="0" w:space="0" w:color="auto"/>
      </w:divBdr>
    </w:div>
    <w:div w:id="1164080501">
      <w:bodyDiv w:val="1"/>
      <w:marLeft w:val="0"/>
      <w:marRight w:val="0"/>
      <w:marTop w:val="0"/>
      <w:marBottom w:val="0"/>
      <w:divBdr>
        <w:top w:val="none" w:sz="0" w:space="0" w:color="auto"/>
        <w:left w:val="none" w:sz="0" w:space="0" w:color="auto"/>
        <w:bottom w:val="none" w:sz="0" w:space="0" w:color="auto"/>
        <w:right w:val="none" w:sz="0" w:space="0" w:color="auto"/>
      </w:divBdr>
    </w:div>
    <w:div w:id="1193374582">
      <w:bodyDiv w:val="1"/>
      <w:marLeft w:val="0"/>
      <w:marRight w:val="0"/>
      <w:marTop w:val="0"/>
      <w:marBottom w:val="0"/>
      <w:divBdr>
        <w:top w:val="none" w:sz="0" w:space="0" w:color="auto"/>
        <w:left w:val="none" w:sz="0" w:space="0" w:color="auto"/>
        <w:bottom w:val="none" w:sz="0" w:space="0" w:color="auto"/>
        <w:right w:val="none" w:sz="0" w:space="0" w:color="auto"/>
      </w:divBdr>
    </w:div>
    <w:div w:id="1210146472">
      <w:bodyDiv w:val="1"/>
      <w:marLeft w:val="0"/>
      <w:marRight w:val="0"/>
      <w:marTop w:val="0"/>
      <w:marBottom w:val="0"/>
      <w:divBdr>
        <w:top w:val="none" w:sz="0" w:space="0" w:color="auto"/>
        <w:left w:val="none" w:sz="0" w:space="0" w:color="auto"/>
        <w:bottom w:val="none" w:sz="0" w:space="0" w:color="auto"/>
        <w:right w:val="none" w:sz="0" w:space="0" w:color="auto"/>
      </w:divBdr>
    </w:div>
    <w:div w:id="1212377294">
      <w:bodyDiv w:val="1"/>
      <w:marLeft w:val="0"/>
      <w:marRight w:val="0"/>
      <w:marTop w:val="0"/>
      <w:marBottom w:val="0"/>
      <w:divBdr>
        <w:top w:val="none" w:sz="0" w:space="0" w:color="auto"/>
        <w:left w:val="none" w:sz="0" w:space="0" w:color="auto"/>
        <w:bottom w:val="none" w:sz="0" w:space="0" w:color="auto"/>
        <w:right w:val="none" w:sz="0" w:space="0" w:color="auto"/>
      </w:divBdr>
    </w:div>
    <w:div w:id="1231039208">
      <w:bodyDiv w:val="1"/>
      <w:marLeft w:val="0"/>
      <w:marRight w:val="0"/>
      <w:marTop w:val="0"/>
      <w:marBottom w:val="0"/>
      <w:divBdr>
        <w:top w:val="none" w:sz="0" w:space="0" w:color="auto"/>
        <w:left w:val="none" w:sz="0" w:space="0" w:color="auto"/>
        <w:bottom w:val="none" w:sz="0" w:space="0" w:color="auto"/>
        <w:right w:val="none" w:sz="0" w:space="0" w:color="auto"/>
      </w:divBdr>
    </w:div>
    <w:div w:id="1242527245">
      <w:bodyDiv w:val="1"/>
      <w:marLeft w:val="0"/>
      <w:marRight w:val="0"/>
      <w:marTop w:val="0"/>
      <w:marBottom w:val="0"/>
      <w:divBdr>
        <w:top w:val="none" w:sz="0" w:space="0" w:color="auto"/>
        <w:left w:val="none" w:sz="0" w:space="0" w:color="auto"/>
        <w:bottom w:val="none" w:sz="0" w:space="0" w:color="auto"/>
        <w:right w:val="none" w:sz="0" w:space="0" w:color="auto"/>
      </w:divBdr>
    </w:div>
    <w:div w:id="1247424129">
      <w:bodyDiv w:val="1"/>
      <w:marLeft w:val="0"/>
      <w:marRight w:val="0"/>
      <w:marTop w:val="0"/>
      <w:marBottom w:val="0"/>
      <w:divBdr>
        <w:top w:val="none" w:sz="0" w:space="0" w:color="auto"/>
        <w:left w:val="none" w:sz="0" w:space="0" w:color="auto"/>
        <w:bottom w:val="none" w:sz="0" w:space="0" w:color="auto"/>
        <w:right w:val="none" w:sz="0" w:space="0" w:color="auto"/>
      </w:divBdr>
    </w:div>
    <w:div w:id="1331103120">
      <w:bodyDiv w:val="1"/>
      <w:marLeft w:val="0"/>
      <w:marRight w:val="0"/>
      <w:marTop w:val="0"/>
      <w:marBottom w:val="0"/>
      <w:divBdr>
        <w:top w:val="none" w:sz="0" w:space="0" w:color="auto"/>
        <w:left w:val="none" w:sz="0" w:space="0" w:color="auto"/>
        <w:bottom w:val="none" w:sz="0" w:space="0" w:color="auto"/>
        <w:right w:val="none" w:sz="0" w:space="0" w:color="auto"/>
      </w:divBdr>
    </w:div>
    <w:div w:id="1415200586">
      <w:bodyDiv w:val="1"/>
      <w:marLeft w:val="0"/>
      <w:marRight w:val="0"/>
      <w:marTop w:val="0"/>
      <w:marBottom w:val="0"/>
      <w:divBdr>
        <w:top w:val="none" w:sz="0" w:space="0" w:color="auto"/>
        <w:left w:val="none" w:sz="0" w:space="0" w:color="auto"/>
        <w:bottom w:val="none" w:sz="0" w:space="0" w:color="auto"/>
        <w:right w:val="none" w:sz="0" w:space="0" w:color="auto"/>
      </w:divBdr>
    </w:div>
    <w:div w:id="1476603296">
      <w:bodyDiv w:val="1"/>
      <w:marLeft w:val="0"/>
      <w:marRight w:val="0"/>
      <w:marTop w:val="0"/>
      <w:marBottom w:val="0"/>
      <w:divBdr>
        <w:top w:val="none" w:sz="0" w:space="0" w:color="auto"/>
        <w:left w:val="none" w:sz="0" w:space="0" w:color="auto"/>
        <w:bottom w:val="none" w:sz="0" w:space="0" w:color="auto"/>
        <w:right w:val="none" w:sz="0" w:space="0" w:color="auto"/>
      </w:divBdr>
    </w:div>
    <w:div w:id="1504933291">
      <w:bodyDiv w:val="1"/>
      <w:marLeft w:val="0"/>
      <w:marRight w:val="0"/>
      <w:marTop w:val="0"/>
      <w:marBottom w:val="0"/>
      <w:divBdr>
        <w:top w:val="none" w:sz="0" w:space="0" w:color="auto"/>
        <w:left w:val="none" w:sz="0" w:space="0" w:color="auto"/>
        <w:bottom w:val="none" w:sz="0" w:space="0" w:color="auto"/>
        <w:right w:val="none" w:sz="0" w:space="0" w:color="auto"/>
      </w:divBdr>
    </w:div>
    <w:div w:id="1534687208">
      <w:bodyDiv w:val="1"/>
      <w:marLeft w:val="0"/>
      <w:marRight w:val="0"/>
      <w:marTop w:val="0"/>
      <w:marBottom w:val="0"/>
      <w:divBdr>
        <w:top w:val="none" w:sz="0" w:space="0" w:color="auto"/>
        <w:left w:val="none" w:sz="0" w:space="0" w:color="auto"/>
        <w:bottom w:val="none" w:sz="0" w:space="0" w:color="auto"/>
        <w:right w:val="none" w:sz="0" w:space="0" w:color="auto"/>
      </w:divBdr>
    </w:div>
    <w:div w:id="1556895546">
      <w:bodyDiv w:val="1"/>
      <w:marLeft w:val="0"/>
      <w:marRight w:val="0"/>
      <w:marTop w:val="0"/>
      <w:marBottom w:val="0"/>
      <w:divBdr>
        <w:top w:val="none" w:sz="0" w:space="0" w:color="auto"/>
        <w:left w:val="none" w:sz="0" w:space="0" w:color="auto"/>
        <w:bottom w:val="none" w:sz="0" w:space="0" w:color="auto"/>
        <w:right w:val="none" w:sz="0" w:space="0" w:color="auto"/>
      </w:divBdr>
    </w:div>
    <w:div w:id="1570310568">
      <w:bodyDiv w:val="1"/>
      <w:marLeft w:val="0"/>
      <w:marRight w:val="0"/>
      <w:marTop w:val="0"/>
      <w:marBottom w:val="0"/>
      <w:divBdr>
        <w:top w:val="none" w:sz="0" w:space="0" w:color="auto"/>
        <w:left w:val="none" w:sz="0" w:space="0" w:color="auto"/>
        <w:bottom w:val="none" w:sz="0" w:space="0" w:color="auto"/>
        <w:right w:val="none" w:sz="0" w:space="0" w:color="auto"/>
      </w:divBdr>
    </w:div>
    <w:div w:id="1623341621">
      <w:bodyDiv w:val="1"/>
      <w:marLeft w:val="0"/>
      <w:marRight w:val="0"/>
      <w:marTop w:val="0"/>
      <w:marBottom w:val="0"/>
      <w:divBdr>
        <w:top w:val="none" w:sz="0" w:space="0" w:color="auto"/>
        <w:left w:val="none" w:sz="0" w:space="0" w:color="auto"/>
        <w:bottom w:val="none" w:sz="0" w:space="0" w:color="auto"/>
        <w:right w:val="none" w:sz="0" w:space="0" w:color="auto"/>
      </w:divBdr>
    </w:div>
    <w:div w:id="1666202503">
      <w:bodyDiv w:val="1"/>
      <w:marLeft w:val="0"/>
      <w:marRight w:val="0"/>
      <w:marTop w:val="0"/>
      <w:marBottom w:val="0"/>
      <w:divBdr>
        <w:top w:val="none" w:sz="0" w:space="0" w:color="auto"/>
        <w:left w:val="none" w:sz="0" w:space="0" w:color="auto"/>
        <w:bottom w:val="none" w:sz="0" w:space="0" w:color="auto"/>
        <w:right w:val="none" w:sz="0" w:space="0" w:color="auto"/>
      </w:divBdr>
    </w:div>
    <w:div w:id="1696273896">
      <w:bodyDiv w:val="1"/>
      <w:marLeft w:val="0"/>
      <w:marRight w:val="0"/>
      <w:marTop w:val="0"/>
      <w:marBottom w:val="0"/>
      <w:divBdr>
        <w:top w:val="none" w:sz="0" w:space="0" w:color="auto"/>
        <w:left w:val="none" w:sz="0" w:space="0" w:color="auto"/>
        <w:bottom w:val="none" w:sz="0" w:space="0" w:color="auto"/>
        <w:right w:val="none" w:sz="0" w:space="0" w:color="auto"/>
      </w:divBdr>
    </w:div>
    <w:div w:id="1746220330">
      <w:bodyDiv w:val="1"/>
      <w:marLeft w:val="0"/>
      <w:marRight w:val="0"/>
      <w:marTop w:val="0"/>
      <w:marBottom w:val="0"/>
      <w:divBdr>
        <w:top w:val="none" w:sz="0" w:space="0" w:color="auto"/>
        <w:left w:val="none" w:sz="0" w:space="0" w:color="auto"/>
        <w:bottom w:val="none" w:sz="0" w:space="0" w:color="auto"/>
        <w:right w:val="none" w:sz="0" w:space="0" w:color="auto"/>
      </w:divBdr>
    </w:div>
    <w:div w:id="1821648763">
      <w:bodyDiv w:val="1"/>
      <w:marLeft w:val="0"/>
      <w:marRight w:val="0"/>
      <w:marTop w:val="0"/>
      <w:marBottom w:val="0"/>
      <w:divBdr>
        <w:top w:val="none" w:sz="0" w:space="0" w:color="auto"/>
        <w:left w:val="none" w:sz="0" w:space="0" w:color="auto"/>
        <w:bottom w:val="none" w:sz="0" w:space="0" w:color="auto"/>
        <w:right w:val="none" w:sz="0" w:space="0" w:color="auto"/>
      </w:divBdr>
    </w:div>
    <w:div w:id="1830945861">
      <w:bodyDiv w:val="1"/>
      <w:marLeft w:val="0"/>
      <w:marRight w:val="0"/>
      <w:marTop w:val="0"/>
      <w:marBottom w:val="0"/>
      <w:divBdr>
        <w:top w:val="none" w:sz="0" w:space="0" w:color="auto"/>
        <w:left w:val="none" w:sz="0" w:space="0" w:color="auto"/>
        <w:bottom w:val="none" w:sz="0" w:space="0" w:color="auto"/>
        <w:right w:val="none" w:sz="0" w:space="0" w:color="auto"/>
      </w:divBdr>
    </w:div>
    <w:div w:id="2039233883">
      <w:bodyDiv w:val="1"/>
      <w:marLeft w:val="0"/>
      <w:marRight w:val="0"/>
      <w:marTop w:val="0"/>
      <w:marBottom w:val="0"/>
      <w:divBdr>
        <w:top w:val="none" w:sz="0" w:space="0" w:color="auto"/>
        <w:left w:val="none" w:sz="0" w:space="0" w:color="auto"/>
        <w:bottom w:val="none" w:sz="0" w:space="0" w:color="auto"/>
        <w:right w:val="none" w:sz="0" w:space="0" w:color="auto"/>
      </w:divBdr>
    </w:div>
    <w:div w:id="207423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33195B9BC6FD409600FE3E264FD3CE" ma:contentTypeVersion="12" ma:contentTypeDescription="Create a new document." ma:contentTypeScope="" ma:versionID="074ad4987a6bb9cf1518dfa5845f3459">
  <xsd:schema xmlns:xsd="http://www.w3.org/2001/XMLSchema" xmlns:xs="http://www.w3.org/2001/XMLSchema" xmlns:p="http://schemas.microsoft.com/office/2006/metadata/properties" xmlns:ns3="5e5381e0-7298-41b5-9fa8-2d3a0f5565d9" xmlns:ns4="d1dd09a3-7e7b-4bd2-a03c-6a46fc038b5c" targetNamespace="http://schemas.microsoft.com/office/2006/metadata/properties" ma:root="true" ma:fieldsID="70498a740e41b8670221759f22d4fc32" ns3:_="" ns4:_="">
    <xsd:import namespace="5e5381e0-7298-41b5-9fa8-2d3a0f5565d9"/>
    <xsd:import namespace="d1dd09a3-7e7b-4bd2-a03c-6a46fc038b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81e0-7298-41b5-9fa8-2d3a0f5565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d09a3-7e7b-4bd2-a03c-6a46fc038b5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1E1FF-9BD8-4FB4-BD98-AC463B38E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81e0-7298-41b5-9fa8-2d3a0f5565d9"/>
    <ds:schemaRef ds:uri="d1dd09a3-7e7b-4bd2-a03c-6a46fc038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6ED1DB-B27B-4D90-9419-5AFA19D596D4}">
  <ds:schemaRefs>
    <ds:schemaRef ds:uri="http://schemas.microsoft.com/sharepoint/v3/contenttype/forms"/>
  </ds:schemaRefs>
</ds:datastoreItem>
</file>

<file path=customXml/itemProps3.xml><?xml version="1.0" encoding="utf-8"?>
<ds:datastoreItem xmlns:ds="http://schemas.openxmlformats.org/officeDocument/2006/customXml" ds:itemID="{F2C12021-5E5D-4AB7-A74A-D292A875F70B}">
  <ds:schemaRefs>
    <ds:schemaRef ds:uri="http://purl.org/dc/terms/"/>
    <ds:schemaRef ds:uri="5e5381e0-7298-41b5-9fa8-2d3a0f5565d9"/>
    <ds:schemaRef ds:uri="http://schemas.microsoft.com/office/2006/documentManagement/types"/>
    <ds:schemaRef ds:uri="http://schemas.microsoft.com/office/infopath/2007/PartnerControls"/>
    <ds:schemaRef ds:uri="d1dd09a3-7e7b-4bd2-a03c-6a46fc038b5c"/>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Ashley E.</dc:creator>
  <cp:lastModifiedBy>Amy Troutman</cp:lastModifiedBy>
  <cp:revision>2</cp:revision>
  <cp:lastPrinted>2021-02-23T19:26:00Z</cp:lastPrinted>
  <dcterms:created xsi:type="dcterms:W3CDTF">2021-02-23T20:33:00Z</dcterms:created>
  <dcterms:modified xsi:type="dcterms:W3CDTF">2021-02-23T20:33:00Z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0x0101006133195B9BC6FD409600FE3E264FD3CE</vt:lpwstr>
  </property>
</Properties>
</file>